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prepared or preserved otherwise than by vinegar or acetic acid, with a dry matter content of more than 30 % by weight</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784,000.00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2002909100</w:t>
            </w:r>
          </w:p>
        </w:tc>
        <w:tc>
          <w:tcPr>
            <w:tcW w:type="dxa" w:w="8561"/>
          </w:tcPr>
          <w:p>
            <w:pPr>
              <w:pStyle w:val="Smallintable"/>
            </w:pPr>
            <w:r>
              <w:t>In immediate packings of a net content exceeding 1|kg</w:t>
            </w:r>
          </w:p>
        </w:tc>
      </w:tr>
      <w:tr>
        <w:tc>
          <w:tcPr>
            <w:tcW w:type="dxa" w:w="1984"/>
          </w:tcPr>
          <w:p>
            <w:pPr>
              <w:pStyle w:val="Smallintable"/>
            </w:pPr>
            <w:r>
              <w:t>2002909900</w:t>
            </w:r>
          </w:p>
        </w:tc>
        <w:tc>
          <w:tcPr>
            <w:tcW w:type="dxa" w:w="8561"/>
          </w:tcPr>
          <w:p>
            <w:pPr>
              <w:pStyle w:val="Smallintable"/>
            </w:pPr>
            <w:r>
              <w:t>In immediate packings of a net content not exceeding 1|kg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784,000.00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