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 live; fresh or chilled; frozen; dried, salted or in brine,</w:t>
              <w:br/>
              <w:t>smoked; fillets and other fish meat; flours, meals and</w:t>
              <w:br/>
              <w:t>pellets, fit for human consumption</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