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Carp</w:t>
            </w:r>
          </w:p>
        </w:tc>
      </w:tr>
      <w:tr>
        <w:tc>
          <w:tcPr>
            <w:tcW w:type="dxa" w:w="2608"/>
          </w:tcPr>
          <w:p>
            <w:pPr>
              <w:pStyle w:val="Smallintable"/>
            </w:pPr>
            <w:r>
              <w:t>Country</w:t>
            </w:r>
          </w:p>
        </w:tc>
        <w:tc>
          <w:tcPr>
            <w:tcW w:type="dxa" w:w="7937"/>
          </w:tcPr>
          <w:p>
            <w:pPr>
              <w:pStyle w:val="Smallintable"/>
            </w:pPr>
            <w:r>
              <w:t>Montenegro</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R080497</w:t>
            </w:r>
          </w:p>
        </w:tc>
        <w:tc>
          <w:tcPr>
            <w:tcW w:type="dxa" w:w="8277"/>
          </w:tcPr>
          <w:p>
            <w:pPr>
              <w:pStyle w:val="Smallintable"/>
            </w:pPr>
            <w:r>
              <w:t>opening and providing for the management of Community tariff quotas for certain fish and fishery products originating in Montenegro</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ME</w:t>
            </w:r>
          </w:p>
        </w:tc>
        <w:tc>
          <w:tcPr>
            <w:tcW w:type="dxa" w:w="8277"/>
          </w:tcPr>
          <w:p>
            <w:pPr>
              <w:pStyle w:val="Smallintable"/>
            </w:pPr>
            <w:r>
              <w:t>Montenegro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0302730000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0303250000</w:t>
            </w:r>
          </w:p>
        </w:tc>
        <w:tc>
          <w:tcPr>
            <w:tcW w:type="dxa" w:w="8561"/>
          </w:tcPr>
          <w:p>
            <w:pPr>
              <w:pStyle w:val="Smallintable"/>
            </w:pPr>
            <w:r>
              <w:t>Carp (Cyprinus spp., Carassius spp., Ctenopharyngodon idellus, Hypophthalmichthys spp., Cirrhinus spp., Mylopharyngodon piceus, Catla catla, Labeo spp., Osteochilus hasselti, Leptobarbus hoeveni, Megalobrama spp.)</w:t>
            </w:r>
          </w:p>
        </w:tc>
      </w:tr>
      <w:tr>
        <w:tc>
          <w:tcPr>
            <w:tcW w:type="dxa" w:w="1984"/>
          </w:tcPr>
          <w:p>
            <w:pPr>
              <w:pStyle w:val="Smallintable"/>
            </w:pPr>
            <w:r>
              <w:t>0304390020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0304510010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0304690020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0304939010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0305100020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0305310010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0305449010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0305520010</w:t>
            </w:r>
          </w:p>
        </w:tc>
        <w:tc>
          <w:tcPr>
            <w:tcW w:type="dxa" w:w="8561"/>
          </w:tcPr>
          <w:p>
            <w:pPr>
              <w:pStyle w:val="Smallintable"/>
            </w:pPr>
            <w:r>
              <w:t>Carp (Cyprinus carpio, Carassius carassius, Ctenopharyngodon idellus, Hypophthalmichthys|spp., Cirrhinus|spp., Mylopharyngodon piceus)</w:t>
            </w:r>
          </w:p>
        </w:tc>
      </w:tr>
      <w:tr>
        <w:tc>
          <w:tcPr>
            <w:tcW w:type="dxa" w:w="1984"/>
          </w:tcPr>
          <w:p>
            <w:pPr>
              <w:pStyle w:val="Smallintable"/>
            </w:pPr>
            <w:r>
              <w:t>0305640010</w:t>
            </w:r>
          </w:p>
        </w:tc>
        <w:tc>
          <w:tcPr>
            <w:tcW w:type="dxa" w:w="8561"/>
          </w:tcPr>
          <w:p>
            <w:pPr>
              <w:pStyle w:val="Smallintable"/>
            </w:pPr>
            <w:r>
              <w:t>Carp (Cyprinus carpio, Carassius carassius, Ctenopharyngodon idellus, Hypophthalmichthys|spp., Cirrhinus|spp., Mylopharyngodon piceus)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0302730000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0303250000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0304390020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0304690020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0304939010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0305310010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0305449010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0305520010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497/2008 opening and providing for the management of Community tariff quotas for certain fish and fishery products originating in Montenegro (OJ L 146/3)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