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091525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Prepared or preserved anchovies</w:t>
            </w:r>
          </w:p>
        </w:tc>
      </w:tr>
      <w:tr>
        <w:tc>
          <w:tcPr>
            <w:tcW w:type="dxa" w:w="2608"/>
          </w:tcPr>
          <w:p>
            <w:pPr>
              <w:pStyle w:val="Smallintable"/>
            </w:pPr>
            <w:r>
              <w:t>Country</w:t>
            </w:r>
          </w:p>
        </w:tc>
        <w:tc>
          <w:tcPr>
            <w:tcW w:type="dxa" w:w="7937"/>
          </w:tcPr>
          <w:p>
            <w:pPr>
              <w:pStyle w:val="Smallintable"/>
            </w:pPr>
            <w:r>
              <w:t>Montenegro</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R080497</w:t>
            </w:r>
          </w:p>
        </w:tc>
        <w:tc>
          <w:tcPr>
            <w:tcW w:type="dxa" w:w="8277"/>
          </w:tcPr>
          <w:p>
            <w:pPr>
              <w:pStyle w:val="Smallintable"/>
            </w:pPr>
            <w:r>
              <w:t>opening and providing for the management of Community tariff quotas for certain fish and fishery products originating in Montenegro</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ME</w:t>
            </w:r>
          </w:p>
        </w:tc>
        <w:tc>
          <w:tcPr>
            <w:tcW w:type="dxa" w:w="8277"/>
          </w:tcPr>
          <w:p>
            <w:pPr>
              <w:pStyle w:val="Smallintable"/>
            </w:pPr>
            <w:r>
              <w:t>Montenegro</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1604160000</w:t>
            </w:r>
          </w:p>
        </w:tc>
        <w:tc>
          <w:tcPr>
            <w:tcW w:type="dxa" w:w="8561"/>
          </w:tcPr>
          <w:p>
            <w:pPr>
              <w:pStyle w:val="Smallintable"/>
            </w:pPr>
            <w:r>
              <w:t>Anchovies</w:t>
            </w:r>
          </w:p>
        </w:tc>
      </w:tr>
      <w:tr>
        <w:tc>
          <w:tcPr>
            <w:tcW w:type="dxa" w:w="1984"/>
          </w:tcPr>
          <w:p>
            <w:pPr>
              <w:pStyle w:val="Smallintable"/>
            </w:pPr>
            <w:r>
              <w:t>1604204000</w:t>
            </w:r>
          </w:p>
        </w:tc>
        <w:tc>
          <w:tcPr>
            <w:tcW w:type="dxa" w:w="8561"/>
          </w:tcPr>
          <w:p>
            <w:pPr>
              <w:pStyle w:val="Smallintable"/>
            </w:pPr>
            <w:r>
              <w:t>Of anchovies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1604160000</w:t>
            </w:r>
          </w:p>
        </w:tc>
        <w:tc>
          <w:tcPr>
            <w:tcW w:type="dxa" w:w="4706"/>
          </w:tcPr>
          <w:p>
            <w:pPr>
              <w:pStyle w:val="Smallintable"/>
            </w:pPr>
            <w:r>
              <w:t>143 [Preferential tariff quota]</w:t>
            </w:r>
          </w:p>
        </w:tc>
        <w:tc>
          <w:tcPr>
            <w:tcW w:type="dxa" w:w="3855"/>
          </w:tcPr>
          <w:p>
            <w:pPr>
              <w:pStyle w:val="Smallintable"/>
            </w:pPr>
            <w:r>
              <w:t>12.5%</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497/2008 opening and providing for the management of Community tariff quotas for certain fish and fishery products originating in Montenegro (OJ L 146/3)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