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wine of fresh grapes, in containers &gt; 2 litres</w:t>
            </w:r>
          </w:p>
        </w:tc>
      </w:tr>
      <w:tr>
        <w:tc>
          <w:tcPr>
            <w:tcW w:type="dxa" w:w="2608"/>
          </w:tcPr>
          <w:p>
            <w:pPr>
              <w:pStyle w:val="Smallintable"/>
            </w:pPr>
            <w:r>
              <w:t>Country</w:t>
            </w:r>
          </w:p>
        </w:tc>
        <w:tc>
          <w:tcPr>
            <w:tcW w:type="dxa" w:w="7937"/>
          </w:tcPr>
          <w:p>
            <w:pPr>
              <w:pStyle w:val="Smallintable"/>
            </w:pPr>
            <w:r>
              <w:t>FYR Macedonia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36,500,000.00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R012597</w:t>
            </w:r>
          </w:p>
        </w:tc>
        <w:tc>
          <w:tcPr>
            <w:tcW w:type="dxa" w:w="8277"/>
          </w:tcPr>
          <w:p>
            <w:pPr>
              <w:pStyle w:val="Smallintable"/>
            </w:pPr>
            <w:r>
              <w:t>opening and providing for the administration of Community tariff quotas for certain wines originating in the Republic of Croatia, in the former Yugoslav Republic of Macedonia and in the Republic of Slovenia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MK</w:t>
            </w:r>
          </w:p>
        </w:tc>
        <w:tc>
          <w:tcPr>
            <w:tcW w:type="dxa" w:w="8277"/>
          </w:tcPr>
          <w:p>
            <w:pPr>
              <w:pStyle w:val="Smallintable"/>
            </w:pPr>
            <w:r>
              <w:t>Macedonia (Former Yugoslav Republic of)</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1233/2014 amending Regulation (EC) No 2597/2001 opening and providing for the management of Community tariff quotas for certain wines originating in the Republic of Croatia and in the former Yugoslav Republic of Macedonia (see OJ L 332/11 of the 19.11.2014)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36,500,000.00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