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Quota order number 091597</w:t>
      </w:r>
    </w:p>
    <w:p>
      <w:pPr>
        <w:pStyle w:val="Heading1"/>
      </w:pPr>
      <w:r>
        <w:t>About this quota</w:t>
      </w:r>
    </w:p>
    <w:p>
      <w:pPr>
        <w:pStyle w:val="Smallintable"/>
      </w:pPr>
      <w:r>
        <w:t>The table below contains background information provided by Defra.</w:t>
      </w:r>
    </w:p>
    <w:tbl>
      <w:tblPr>
        <w:tblStyle w:val="TableGrid"/>
        <w:tblW w:type="auto" w:w="0"/>
        <w:tblLook w:firstColumn="1" w:firstRow="1" w:lastColumn="0" w:lastRow="0" w:noHBand="0" w:noVBand="1" w:val="04A0"/>
      </w:tblPr>
      <w:tblGrid>
        <w:gridCol w:w="5270"/>
        <w:gridCol w:w="5270"/>
      </w:tblGrid>
      <w:tr>
        <w:tc>
          <w:tcPr>
            <w:tcW w:type="dxa" w:w="2608"/>
          </w:tcPr>
          <w:p>
            <w:pPr>
              <w:pStyle w:val="Smallintable"/>
            </w:pPr>
            <w:r>
              <w:t>Defra description</w:t>
            </w:r>
          </w:p>
        </w:tc>
        <w:tc>
          <w:tcPr>
            <w:tcW w:type="dxa" w:w="7937"/>
          </w:tcPr>
          <w:p>
            <w:pPr>
              <w:pStyle w:val="Smallintable"/>
            </w:pPr>
            <w:r>
              <w:t>Sea bass (Dicentrarchus labrax): live; fresh or chilled; frozen; dried, salted or in brine, smoked; fillets and other fish meat; flours, meals and pellets, fit for human consumption.</w:t>
            </w:r>
          </w:p>
        </w:tc>
      </w:tr>
      <w:tr>
        <w:tc>
          <w:tcPr>
            <w:tcW w:type="dxa" w:w="2608"/>
          </w:tcPr>
          <w:p>
            <w:pPr>
              <w:pStyle w:val="Smallintable"/>
            </w:pPr>
            <w:r>
              <w:t>Country</w:t>
            </w:r>
          </w:p>
        </w:tc>
        <w:tc>
          <w:tcPr>
            <w:tcW w:type="dxa" w:w="7937"/>
          </w:tcPr>
          <w:p>
            <w:pPr>
              <w:pStyle w:val="Smallintable"/>
            </w:pPr>
            <w:r>
              <w:t>Bosnia and Herzegovina</w:t>
            </w:r>
          </w:p>
        </w:tc>
      </w:tr>
      <w:tr>
        <w:tc>
          <w:tcPr>
            <w:tcW w:type="dxa" w:w="2608"/>
          </w:tcPr>
          <w:p>
            <w:pPr>
              <w:pStyle w:val="Smallintable"/>
            </w:pPr>
            <w:r>
              <w:t>Application period</w:t>
            </w:r>
          </w:p>
        </w:tc>
        <w:tc>
          <w:tcPr>
            <w:tcW w:type="dxa" w:w="7937"/>
          </w:tcPr>
          <w:p>
            <w:pPr>
              <w:pStyle w:val="Smallintable"/>
            </w:pPr>
            <w:r>
              <w:t>01-01-2018 - 31-12-2018</w:t>
            </w:r>
          </w:p>
        </w:tc>
      </w:tr>
      <w:tr>
        <w:tc>
          <w:tcPr>
            <w:tcW w:type="dxa" w:w="2608"/>
          </w:tcPr>
          <w:p>
            <w:pPr>
              <w:pStyle w:val="Smallintable"/>
            </w:pPr>
            <w:r>
              <w:t>Overall quota volume</w:t>
            </w:r>
          </w:p>
        </w:tc>
        <w:tc>
          <w:tcPr>
            <w:tcW w:type="dxa" w:w="7937"/>
          </w:tcPr>
          <w:p>
            <w:pPr>
              <w:pStyle w:val="Smallintable"/>
            </w:pPr>
            <w:r>
              <w:t>30,000.00</w:t>
            </w:r>
          </w:p>
        </w:tc>
      </w:tr>
      <w:tr>
        <w:tc>
          <w:tcPr>
            <w:tcW w:type="dxa" w:w="2608"/>
          </w:tcPr>
          <w:p>
            <w:pPr>
              <w:pStyle w:val="Smallintable"/>
            </w:pPr>
            <w:r>
              <w:t>Unit</w:t>
            </w:r>
          </w:p>
        </w:tc>
        <w:tc>
          <w:tcPr>
            <w:tcW w:type="dxa" w:w="7937"/>
          </w:tcPr>
          <w:p>
            <w:pPr>
              <w:pStyle w:val="Smallintable"/>
            </w:pPr>
            <w:r>
              <w:t>KGM</w:t>
            </w:r>
          </w:p>
        </w:tc>
      </w:tr>
      <w:tr>
        <w:tc>
          <w:tcPr>
            <w:tcW w:type="dxa" w:w="2608"/>
          </w:tcPr>
          <w:p>
            <w:pPr>
              <w:pStyle w:val="Smallintable"/>
            </w:pPr>
            <w:r>
              <w:t>Method</w:t>
            </w:r>
          </w:p>
        </w:tc>
        <w:tc>
          <w:tcPr>
            <w:tcW w:type="dxa" w:w="7937"/>
          </w:tcPr>
          <w:p>
            <w:pPr>
              <w:pStyle w:val="Smallintable"/>
            </w:pPr>
            <w:r>
              <w:t>FCFS</w:t>
            </w:r>
          </w:p>
        </w:tc>
      </w:tr>
      <w:tr>
        <w:tc>
          <w:tcPr>
            <w:tcW w:type="dxa" w:w="2608"/>
          </w:tcPr>
          <w:p>
            <w:pPr>
              <w:pStyle w:val="Smallintable"/>
            </w:pPr>
            <w:r>
              <w:t>Type</w:t>
            </w:r>
          </w:p>
        </w:tc>
        <w:tc>
          <w:tcPr>
            <w:tcW w:type="dxa" w:w="7937"/>
          </w:tcPr>
          <w:p>
            <w:pPr>
              <w:pStyle w:val="Smallintable"/>
            </w:pPr>
            <w:r>
              <w:t>Preferential TQ</w:t>
            </w:r>
          </w:p>
        </w:tc>
      </w:tr>
      <w:tr>
        <w:tc>
          <w:tcPr>
            <w:tcW w:type="dxa" w:w="2608"/>
          </w:tcPr>
          <w:p>
            <w:pPr>
              <w:pStyle w:val="Smallintable"/>
            </w:pPr>
            <w:r>
              <w:t>Mechanism</w:t>
            </w:r>
          </w:p>
        </w:tc>
        <w:tc>
          <w:tcPr>
            <w:tcW w:type="dxa" w:w="7937"/>
          </w:tcPr>
          <w:p>
            <w:pPr>
              <w:pStyle w:val="Smallintable"/>
            </w:pPr>
            <w:r>
              <w:t>FTA</w:t>
            </w:r>
          </w:p>
        </w:tc>
      </w:tr>
      <w:tr>
        <w:tc>
          <w:tcPr>
            <w:tcW w:type="dxa" w:w="2608"/>
          </w:tcPr>
          <w:p>
            <w:pPr>
              <w:pStyle w:val="Smallintable"/>
            </w:pPr>
            <w:r>
              <w:t>Sector</w:t>
            </w:r>
          </w:p>
        </w:tc>
        <w:tc>
          <w:tcPr>
            <w:tcW w:type="dxa" w:w="7937"/>
          </w:tcPr>
          <w:p>
            <w:pPr>
              <w:pStyle w:val="Smallintable"/>
            </w:pPr>
            <w:r/>
          </w:p>
        </w:tc>
      </w:tr>
      <w:tr>
        <w:tc>
          <w:tcPr>
            <w:tcW w:type="dxa" w:w="2608"/>
          </w:tcPr>
          <w:p>
            <w:pPr>
              <w:pStyle w:val="Smallintable"/>
            </w:pPr>
            <w:r>
              <w:t>Comments</w:t>
            </w:r>
          </w:p>
        </w:tc>
        <w:tc>
          <w:tcPr>
            <w:tcW w:type="dxa" w:w="7937"/>
          </w:tcPr>
          <w:p>
            <w:pPr>
              <w:pStyle w:val="Smallintable"/>
            </w:pPr>
            <w:r/>
          </w:p>
        </w:tc>
      </w:tr>
    </w:tbl>
    <w:p>
      <w:pPr>
        <w:pStyle w:val="Heading1"/>
      </w:pPr>
      <w:r>
        <w:t>Regulation(s)</w:t>
      </w:r>
    </w:p>
    <w:p>
      <w:pPr>
        <w:pStyle w:val="Smallintable"/>
      </w:pPr>
      <w:r>
        <w:t>The table below lists the EU regulation(s) that has/have given rise to this quota and its associated measures.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EU Regulation ID</w:t>
            </w:r>
          </w:p>
        </w:tc>
        <w:tc>
          <w:tcPr>
            <w:tcW w:type="dxa" w:w="8277"/>
          </w:tcPr>
          <w:p>
            <w:pPr>
              <w:pStyle w:val="Smallintable"/>
            </w:pPr>
            <w:r>
              <w:t>Title</w:t>
            </w:r>
          </w:p>
        </w:tc>
      </w:tr>
      <w:tr>
        <w:tc>
          <w:tcPr>
            <w:tcW w:type="dxa" w:w="2268"/>
          </w:tcPr>
          <w:p>
            <w:pPr>
              <w:pStyle w:val="Smallintable"/>
            </w:pPr>
            <w:r>
              <w:t>R110354</w:t>
            </w:r>
          </w:p>
        </w:tc>
        <w:tc>
          <w:tcPr>
            <w:tcW w:type="dxa" w:w="8277"/>
          </w:tcPr>
          <w:p>
            <w:pPr>
              <w:pStyle w:val="Smallintable"/>
            </w:pPr>
            <w:r>
              <w:t>opening and providing for the management of tariff quotas of the Union for certain fish and fishery products originating in Bosnia and Herzegovina</w:t>
            </w:r>
          </w:p>
        </w:tc>
      </w:tr>
    </w:tbl>
    <w:p>
      <w:pPr>
        <w:pStyle w:val="Heading1"/>
      </w:pPr>
      <w:r>
        <w:t>Geography</w:t>
      </w:r>
    </w:p>
    <w:p>
      <w:pPr>
        <w:pStyle w:val="Smallintable"/>
      </w:pPr>
      <w:r>
        <w:t>The table below lists the geographies to which the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2268"/>
          </w:tcPr>
          <w:p>
            <w:pPr>
              <w:pStyle w:val="Smallintable"/>
            </w:pPr>
            <w:r>
              <w:t>Geographical area ID</w:t>
            </w:r>
          </w:p>
        </w:tc>
        <w:tc>
          <w:tcPr>
            <w:tcW w:type="dxa" w:w="8277"/>
          </w:tcPr>
          <w:p>
            <w:pPr>
              <w:pStyle w:val="Smallintable"/>
            </w:pPr>
            <w:r>
              <w:t>Description</w:t>
            </w:r>
          </w:p>
        </w:tc>
      </w:tr>
      <w:tr>
        <w:tc>
          <w:tcPr>
            <w:tcW w:type="dxa" w:w="2268"/>
          </w:tcPr>
          <w:p>
            <w:pPr>
              <w:pStyle w:val="Smallintable"/>
            </w:pPr>
            <w:r>
              <w:t>BA</w:t>
            </w:r>
          </w:p>
        </w:tc>
        <w:tc>
          <w:tcPr>
            <w:tcW w:type="dxa" w:w="8277"/>
          </w:tcPr>
          <w:p>
            <w:pPr>
              <w:pStyle w:val="Smallintable"/>
            </w:pPr>
            <w:r>
              <w:t>Bosnia and Herzegovina</w:t>
            </w:r>
          </w:p>
        </w:tc>
      </w:tr>
    </w:tbl>
    <w:p>
      <w:pPr>
        <w:pStyle w:val="Heading2"/>
      </w:pPr>
      <w:r>
        <w:t>Geographical area exclusions</w:t>
      </w:r>
    </w:p>
    <w:p>
      <w:pPr>
        <w:pStyle w:val="Smallintable"/>
      </w:pPr>
      <w:r>
        <w:t>No geographical exclusions.</w:t>
      </w:r>
    </w:p>
    <w:p>
      <w:pPr>
        <w:pStyle w:val="Heading1"/>
      </w:pPr>
      <w:r>
        <w:t>Commodity codes</w:t>
      </w:r>
    </w:p>
    <w:p>
      <w:pPr>
        <w:pStyle w:val="Smallintable"/>
      </w:pPr>
      <w:r>
        <w:t>The table below lists the commodity codes to which this quota applies.</w:t>
      </w:r>
    </w:p>
    <w:tbl>
      <w:tblPr>
        <w:tblStyle w:val="LightList"/>
        <w:tblW w:type="auto" w:w="0"/>
        <w:tblLook w:firstColumn="1" w:firstRow="1" w:lastColumn="0" w:lastRow="0" w:noHBand="0" w:noVBand="1" w:val="04A0"/>
      </w:tblPr>
      <w:tblGrid>
        <w:gridCol w:w="5270"/>
        <w:gridCol w:w="5270"/>
      </w:tblGrid>
      <w:tr>
        <w:trPr>
          <w:tblHeader w:val="true"/>
        </w:trPr>
        <w:tc>
          <w:tcPr>
            <w:tcW w:type="dxa" w:w="1984"/>
          </w:tcPr>
          <w:p>
            <w:pPr>
              <w:pStyle w:val="Smallintable"/>
            </w:pPr>
            <w:r>
              <w:t>Commodity code</w:t>
            </w:r>
          </w:p>
        </w:tc>
        <w:tc>
          <w:tcPr>
            <w:tcW w:type="dxa" w:w="8561"/>
          </w:tcPr>
          <w:p>
            <w:pPr>
              <w:pStyle w:val="Smallintable"/>
            </w:pPr>
            <w:r>
              <w:t>Description</w:t>
            </w:r>
          </w:p>
        </w:tc>
      </w:tr>
      <w:tr>
        <w:tc>
          <w:tcPr>
            <w:tcW w:type="dxa" w:w="1984"/>
          </w:tcPr>
          <w:p>
            <w:pPr>
              <w:pStyle w:val="Smallintable"/>
            </w:pPr>
            <w:r>
              <w:t>0301998522</w:t>
            </w:r>
          </w:p>
        </w:tc>
        <w:tc>
          <w:tcPr>
            <w:tcW w:type="dxa" w:w="8561"/>
          </w:tcPr>
          <w:p>
            <w:pPr>
              <w:pStyle w:val="Smallintable"/>
            </w:pPr>
            <w:r>
              <w:t>European sea bass (Dicentrarchus labrax)</w:t>
            </w:r>
          </w:p>
        </w:tc>
      </w:tr>
      <w:tr>
        <w:tc>
          <w:tcPr>
            <w:tcW w:type="dxa" w:w="1984"/>
          </w:tcPr>
          <w:p>
            <w:pPr>
              <w:pStyle w:val="Smallintable"/>
            </w:pPr>
            <w:r>
              <w:t>0302841000</w:t>
            </w:r>
          </w:p>
        </w:tc>
        <w:tc>
          <w:tcPr>
            <w:tcW w:type="dxa" w:w="8561"/>
          </w:tcPr>
          <w:p>
            <w:pPr>
              <w:pStyle w:val="Smallintable"/>
            </w:pPr>
            <w:r>
              <w:t>European sea bass (Dicentrarchus labrax)</w:t>
            </w:r>
          </w:p>
        </w:tc>
      </w:tr>
      <w:tr>
        <w:tc>
          <w:tcPr>
            <w:tcW w:type="dxa" w:w="1984"/>
          </w:tcPr>
          <w:p>
            <w:pPr>
              <w:pStyle w:val="Smallintable"/>
            </w:pPr>
            <w:r>
              <w:t>0303841000</w:t>
            </w:r>
          </w:p>
        </w:tc>
        <w:tc>
          <w:tcPr>
            <w:tcW w:type="dxa" w:w="8561"/>
          </w:tcPr>
          <w:p>
            <w:pPr>
              <w:pStyle w:val="Smallintable"/>
            </w:pPr>
            <w:r>
              <w:t>European sea bass (Dicentrarchus labrax)</w:t>
            </w:r>
          </w:p>
        </w:tc>
      </w:tr>
      <w:tr>
        <w:tc>
          <w:tcPr>
            <w:tcW w:type="dxa" w:w="1984"/>
          </w:tcPr>
          <w:p>
            <w:pPr>
              <w:pStyle w:val="Smallintable"/>
            </w:pPr>
            <w:r>
              <w:t>0304499070</w:t>
            </w:r>
          </w:p>
        </w:tc>
        <w:tc>
          <w:tcPr>
            <w:tcW w:type="dxa" w:w="8561"/>
          </w:tcPr>
          <w:p>
            <w:pPr>
              <w:pStyle w:val="Smallintable"/>
            </w:pPr>
            <w:r>
              <w:t>European sea bass (Dicentrarchus labrax)</w:t>
            </w:r>
          </w:p>
        </w:tc>
      </w:tr>
      <w:tr>
        <w:tc>
          <w:tcPr>
            <w:tcW w:type="dxa" w:w="1984"/>
          </w:tcPr>
          <w:p>
            <w:pPr>
              <w:pStyle w:val="Smallintable"/>
            </w:pPr>
            <w:r>
              <w:t>0304599045</w:t>
            </w:r>
          </w:p>
        </w:tc>
        <w:tc>
          <w:tcPr>
            <w:tcW w:type="dxa" w:w="8561"/>
          </w:tcPr>
          <w:p>
            <w:pPr>
              <w:pStyle w:val="Smallintable"/>
            </w:pPr>
            <w:r>
              <w:t>European sea bass (Dicentrarchus labrax)</w:t>
            </w:r>
          </w:p>
        </w:tc>
      </w:tr>
      <w:tr>
        <w:tc>
          <w:tcPr>
            <w:tcW w:type="dxa" w:w="1984"/>
          </w:tcPr>
          <w:p>
            <w:pPr>
              <w:pStyle w:val="Smallintable"/>
            </w:pPr>
            <w:r>
              <w:t>0304899040</w:t>
            </w:r>
          </w:p>
        </w:tc>
        <w:tc>
          <w:tcPr>
            <w:tcW w:type="dxa" w:w="8561"/>
          </w:tcPr>
          <w:p>
            <w:pPr>
              <w:pStyle w:val="Smallintable"/>
            </w:pPr>
            <w:r>
              <w:t>European sea bass (Dicentrarchus labrax)</w:t>
            </w:r>
          </w:p>
        </w:tc>
      </w:tr>
      <w:tr>
        <w:tc>
          <w:tcPr>
            <w:tcW w:type="dxa" w:w="1984"/>
          </w:tcPr>
          <w:p>
            <w:pPr>
              <w:pStyle w:val="Smallintable"/>
            </w:pPr>
            <w:r>
              <w:t>0304999970</w:t>
            </w:r>
          </w:p>
        </w:tc>
        <w:tc>
          <w:tcPr>
            <w:tcW w:type="dxa" w:w="8561"/>
          </w:tcPr>
          <w:p>
            <w:pPr>
              <w:pStyle w:val="Smallintable"/>
            </w:pPr>
            <w:r>
              <w:t>European sea bass (Dicentrarchus labrax)</w:t>
            </w:r>
          </w:p>
        </w:tc>
      </w:tr>
      <w:tr>
        <w:tc>
          <w:tcPr>
            <w:tcW w:type="dxa" w:w="1984"/>
          </w:tcPr>
          <w:p>
            <w:pPr>
              <w:pStyle w:val="Smallintable"/>
            </w:pPr>
            <w:r>
              <w:t>0305100040</w:t>
            </w:r>
          </w:p>
        </w:tc>
        <w:tc>
          <w:tcPr>
            <w:tcW w:type="dxa" w:w="8561"/>
          </w:tcPr>
          <w:p>
            <w:pPr>
              <w:pStyle w:val="Smallintable"/>
            </w:pPr>
            <w:r>
              <w:t>Of sea bass (Dicentrarchus labrax)</w:t>
            </w:r>
          </w:p>
        </w:tc>
      </w:tr>
      <w:tr>
        <w:tc>
          <w:tcPr>
            <w:tcW w:type="dxa" w:w="1984"/>
          </w:tcPr>
          <w:p>
            <w:pPr>
              <w:pStyle w:val="Smallintable"/>
            </w:pPr>
            <w:r>
              <w:t>0305399080</w:t>
            </w:r>
          </w:p>
        </w:tc>
        <w:tc>
          <w:tcPr>
            <w:tcW w:type="dxa" w:w="8561"/>
          </w:tcPr>
          <w:p>
            <w:pPr>
              <w:pStyle w:val="Smallintable"/>
            </w:pPr>
            <w:r>
              <w:t>European sea bass (Dicentrarchus labrax)</w:t>
            </w:r>
          </w:p>
        </w:tc>
      </w:tr>
      <w:tr>
        <w:tc>
          <w:tcPr>
            <w:tcW w:type="dxa" w:w="1984"/>
          </w:tcPr>
          <w:p>
            <w:pPr>
              <w:pStyle w:val="Smallintable"/>
            </w:pPr>
            <w:r>
              <w:t>0305498050</w:t>
            </w:r>
          </w:p>
        </w:tc>
        <w:tc>
          <w:tcPr>
            <w:tcW w:type="dxa" w:w="8561"/>
          </w:tcPr>
          <w:p>
            <w:pPr>
              <w:pStyle w:val="Smallintable"/>
            </w:pPr>
            <w:r>
              <w:t>European sea bass (Dicentrarchus labrax)</w:t>
            </w:r>
          </w:p>
        </w:tc>
      </w:tr>
      <w:tr>
        <w:tc>
          <w:tcPr>
            <w:tcW w:type="dxa" w:w="1984"/>
          </w:tcPr>
          <w:p>
            <w:pPr>
              <w:pStyle w:val="Smallintable"/>
            </w:pPr>
            <w:r>
              <w:t>0305598567</w:t>
            </w:r>
          </w:p>
        </w:tc>
        <w:tc>
          <w:tcPr>
            <w:tcW w:type="dxa" w:w="8561"/>
          </w:tcPr>
          <w:p>
            <w:pPr>
              <w:pStyle w:val="Smallintable"/>
            </w:pPr>
            <w:r>
              <w:t>Sea bass (Dicentrarchus labrax)</w:t>
            </w:r>
          </w:p>
        </w:tc>
      </w:tr>
      <w:tr>
        <w:tc>
          <w:tcPr>
            <w:tcW w:type="dxa" w:w="1984"/>
          </w:tcPr>
          <w:p>
            <w:pPr>
              <w:pStyle w:val="Smallintable"/>
            </w:pPr>
            <w:r>
              <w:t>0305698067</w:t>
            </w:r>
          </w:p>
        </w:tc>
        <w:tc>
          <w:tcPr>
            <w:tcW w:type="dxa" w:w="8561"/>
          </w:tcPr>
          <w:p>
            <w:pPr>
              <w:pStyle w:val="Smallintable"/>
            </w:pPr>
            <w:r>
              <w:t>European sea bass (Dicentrarchus labrax)</w:t>
            </w:r>
          </w:p>
        </w:tc>
      </w:tr>
    </w:tbl>
    <w:p>
      <w:pPr>
        <w:pStyle w:val="Heading1"/>
      </w:pPr>
      <w:r>
        <w:t>Measures and duties</w:t>
      </w:r>
    </w:p>
    <w:p>
      <w:pPr>
        <w:pStyle w:val="Smallintable"/>
      </w:pPr>
      <w:r>
        <w:t>The table below shows the measures that area applicable to goods in quota. In most cases, the duty will be 0%, however on occasion duties remain applicable. Please also be aware that on occasion, more than one measure type may apply to a single order number.</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1984"/>
          </w:tcPr>
          <w:p>
            <w:pPr>
              <w:pStyle w:val="Smallintable"/>
            </w:pPr>
            <w:r>
              <w:t>Commodity code</w:t>
            </w:r>
          </w:p>
        </w:tc>
        <w:tc>
          <w:tcPr>
            <w:tcW w:type="dxa" w:w="4706"/>
          </w:tcPr>
          <w:p>
            <w:pPr>
              <w:pStyle w:val="Smallintable"/>
            </w:pPr>
            <w:r>
              <w:t>Measure type</w:t>
            </w:r>
          </w:p>
        </w:tc>
        <w:tc>
          <w:tcPr>
            <w:tcW w:type="dxa" w:w="3855"/>
          </w:tcPr>
          <w:p>
            <w:pPr>
              <w:pStyle w:val="Smallintable"/>
            </w:pPr>
            <w:r>
              <w:t>Applicable duty</w:t>
            </w:r>
          </w:p>
        </w:tc>
      </w:tr>
      <w:tr>
        <w:tc>
          <w:tcPr>
            <w:tcW w:type="dxa" w:w="1984"/>
          </w:tcPr>
          <w:p>
            <w:pPr>
              <w:pStyle w:val="Smallintable"/>
            </w:pPr>
            <w:r>
              <w:t>0301998522</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0302841000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0303841000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0304499070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0304599045</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0304899040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0304999970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0305100040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0305399080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0305498050</w:t>
            </w:r>
          </w:p>
        </w:tc>
        <w:tc>
          <w:tcPr>
            <w:tcW w:type="dxa" w:w="4706"/>
          </w:tcPr>
          <w:p>
            <w:pPr>
              <w:pStyle w:val="Smallintable"/>
            </w:pPr>
            <w:r>
              <w:t>143 [Preferential tariff quota]</w:t>
            </w:r>
          </w:p>
        </w:tc>
        <w:tc>
          <w:tcPr>
            <w:tcW w:type="dxa" w:w="3855"/>
          </w:tcPr>
          <w:p>
            <w:pPr>
              <w:pStyle w:val="Smallintable"/>
            </w:pPr>
            <w:r>
              <w:t>0.0%</w:t>
            </w:r>
          </w:p>
        </w:tc>
      </w:tr>
      <w:tr>
        <w:tc>
          <w:tcPr>
            <w:tcW w:type="dxa" w:w="1984"/>
          </w:tcPr>
          <w:p>
            <w:pPr>
              <w:pStyle w:val="Smallintable"/>
            </w:pPr>
            <w:r>
              <w:t>0305598567</w:t>
            </w:r>
          </w:p>
        </w:tc>
        <w:tc>
          <w:tcPr>
            <w:tcW w:type="dxa" w:w="4706"/>
          </w:tcPr>
          <w:p>
            <w:pPr>
              <w:pStyle w:val="Smallintable"/>
            </w:pPr>
            <w:r>
              <w:t>143 [Preferential tariff quota]</w:t>
            </w:r>
          </w:p>
        </w:tc>
        <w:tc>
          <w:tcPr>
            <w:tcW w:type="dxa" w:w="3855"/>
          </w:tcPr>
          <w:p>
            <w:pPr>
              <w:pStyle w:val="Smallintable"/>
            </w:pPr>
            <w:r>
              <w:t>0.0%</w:t>
            </w:r>
          </w:p>
        </w:tc>
      </w:tr>
    </w:tbl>
    <w:p>
      <w:pPr>
        <w:pStyle w:val="Heading1"/>
      </w:pPr>
      <w:r>
        <w:t>Quota definition description</w:t>
      </w:r>
    </w:p>
    <w:p>
      <w:pPr>
        <w:pStyle w:val="Smallintable"/>
      </w:pPr>
      <w:r>
        <w:t>The table cell below identifies the description that the EU has applied to the quota definition periods listed below. There may be multiple descriptions, however to aid readability, only one is included. Where there are multiple descriptions, they are usually the same.</w:t>
      </w:r>
    </w:p>
    <w:tbl>
      <w:tblPr>
        <w:tblStyle w:val="TableGrid"/>
        <w:tblW w:type="auto" w:w="0"/>
        <w:tblLook w:firstColumn="1" w:firstRow="1" w:lastColumn="0" w:lastRow="0" w:noHBand="0" w:noVBand="1" w:val="04A0"/>
      </w:tblPr>
      <w:tblGrid>
        <w:gridCol w:w="10540"/>
      </w:tblGrid>
      <w:tr>
        <w:tc>
          <w:tcPr>
            <w:tcW w:type="dxa" w:w="10540"/>
          </w:tcPr>
          <w:p>
            <w:pPr>
              <w:pStyle w:val="Smallintable"/>
            </w:pPr>
            <w:r>
              <w:t>Commission Regulation (EU) No 354/2011 opening and providing for the management of tariff quotas of the Union for certain fish and fishery products originating in Bosnia and Herzegovina (OJ L 98/1 of 13/04/2011)</w:t>
            </w:r>
          </w:p>
        </w:tc>
      </w:tr>
    </w:tbl>
    <w:p>
      <w:pPr>
        <w:pStyle w:val="Heading1"/>
      </w:pPr>
      <w:r>
        <w:t>Quota definition periods</w:t>
      </w:r>
    </w:p>
    <w:p>
      <w:pPr>
        <w:pStyle w:val="Smallintable"/>
      </w:pPr>
      <w:r>
        <w:t>The table below lists the quota definition periods applicable to this quota.</w:t>
      </w:r>
    </w:p>
    <w:tbl>
      <w:tblPr>
        <w:tblStyle w:val="LightList"/>
        <w:tblW w:type="auto" w:w="0"/>
        <w:tblLook w:firstColumn="1" w:firstRow="1" w:lastColumn="0" w:lastRow="0" w:noHBand="0" w:noVBand="1" w:val="04A0"/>
      </w:tblPr>
      <w:tblGrid>
        <w:gridCol w:w="1506"/>
        <w:gridCol w:w="1506"/>
        <w:gridCol w:w="1506"/>
        <w:gridCol w:w="1506"/>
        <w:gridCol w:w="1506"/>
        <w:gridCol w:w="1506"/>
        <w:gridCol w:w="1506"/>
      </w:tblGrid>
      <w:tr>
        <w:trPr>
          <w:tblHeader w:val="true"/>
        </w:trPr>
        <w:tc>
          <w:tcPr>
            <w:tcW w:type="dxa" w:w="1984"/>
          </w:tcPr>
          <w:p>
            <w:pPr>
              <w:pStyle w:val="Smallintable"/>
            </w:pPr>
            <w:r>
              <w:t>Dates</w:t>
            </w:r>
          </w:p>
        </w:tc>
        <w:tc>
          <w:tcPr>
            <w:tcW w:type="dxa" w:w="1531"/>
          </w:tcPr>
          <w:p>
            <w:pPr>
              <w:pStyle w:val="Smallintable"/>
            </w:pPr>
            <w:r>
              <w:t>Period type</w:t>
            </w:r>
          </w:p>
        </w:tc>
        <w:tc>
          <w:tcPr>
            <w:tcW w:type="dxa" w:w="1644"/>
          </w:tcPr>
          <w:p>
            <w:pPr>
              <w:pStyle w:val="Smallintable"/>
            </w:pPr>
            <w:r>
              <w:t>Volume</w:t>
            </w:r>
          </w:p>
        </w:tc>
        <w:tc>
          <w:tcPr>
            <w:tcW w:type="dxa" w:w="1417"/>
          </w:tcPr>
          <w:p>
            <w:pPr>
              <w:pStyle w:val="Smallintable"/>
            </w:pPr>
            <w:r>
              <w:t>Unit</w:t>
            </w:r>
          </w:p>
        </w:tc>
        <w:tc>
          <w:tcPr>
            <w:tcW w:type="dxa" w:w="1417"/>
          </w:tcPr>
          <w:p>
            <w:pPr>
              <w:pStyle w:val="Smallintable"/>
            </w:pPr>
            <w:r>
              <w:t>Monetary unit</w:t>
            </w:r>
          </w:p>
        </w:tc>
        <w:tc>
          <w:tcPr>
            <w:tcW w:type="dxa" w:w="1417"/>
          </w:tcPr>
          <w:p>
            <w:pPr>
              <w:pStyle w:val="Smallintable"/>
            </w:pPr>
            <w:r>
              <w:t>Critical state</w:t>
            </w:r>
          </w:p>
        </w:tc>
        <w:tc>
          <w:tcPr>
            <w:tcW w:type="dxa" w:w="1417"/>
          </w:tcPr>
          <w:p>
            <w:pPr>
              <w:pStyle w:val="Smallintable"/>
            </w:pPr>
            <w:r>
              <w:t>Critical threshold</w:t>
            </w:r>
          </w:p>
        </w:tc>
      </w:tr>
      <w:tr>
        <w:tc>
          <w:tcPr>
            <w:tcW w:type="dxa" w:w="1984"/>
          </w:tcPr>
          <w:p>
            <w:pPr>
              <w:pStyle w:val="Smallintable"/>
            </w:pPr>
            <w:r>
              <w:t>01-01-18 to 31-12-18</w:t>
            </w:r>
          </w:p>
        </w:tc>
        <w:tc>
          <w:tcPr>
            <w:tcW w:type="dxa" w:w="1531"/>
          </w:tcPr>
          <w:p>
            <w:pPr>
              <w:pStyle w:val="Smallintable"/>
            </w:pPr>
            <w:r>
              <w:t>12 months</w:t>
            </w:r>
          </w:p>
        </w:tc>
        <w:tc>
          <w:tcPr>
            <w:tcW w:type="dxa" w:w="1644"/>
          </w:tcPr>
          <w:p>
            <w:pPr>
              <w:pStyle w:val="Smallintable"/>
            </w:pPr>
            <w:r>
              <w:t>30,000.00</w:t>
            </w:r>
          </w:p>
        </w:tc>
        <w:tc>
          <w:tcPr>
            <w:tcW w:type="dxa" w:w="1417"/>
          </w:tcPr>
          <w:p>
            <w:pPr>
              <w:pStyle w:val="Smallintable"/>
            </w:pPr>
            <w:r>
              <w:t xml:space="preserve">KGM </w:t>
            </w:r>
          </w:p>
        </w:tc>
        <w:tc>
          <w:tcPr>
            <w:tcW w:type="dxa" w:w="1417"/>
          </w:tcPr>
          <w:p>
            <w:pPr>
              <w:pStyle w:val="Smallintable"/>
            </w:pPr>
            <w:r/>
          </w:p>
        </w:tc>
        <w:tc>
          <w:tcPr>
            <w:tcW w:type="dxa" w:w="1417"/>
          </w:tcPr>
          <w:p>
            <w:pPr>
              <w:pStyle w:val="Smallintable"/>
            </w:pPr>
            <w:r>
              <w:t>N</w:t>
            </w:r>
          </w:p>
        </w:tc>
        <w:tc>
          <w:tcPr>
            <w:tcW w:type="dxa" w:w="1417"/>
          </w:tcPr>
          <w:p>
            <w:pPr>
              <w:pStyle w:val="Smallintable"/>
            </w:pPr>
            <w:r>
              <w:t>90</w:t>
            </w:r>
          </w:p>
        </w:tc>
      </w:tr>
    </w:tbl>
    <w:p>
      <w:pPr>
        <w:pStyle w:val="Heading1"/>
      </w:pPr>
      <w:r>
        <w:t>Quota associations</w:t>
      </w:r>
    </w:p>
    <w:p>
      <w:pPr>
        <w:pStyle w:val="Smallintable"/>
      </w:pPr>
      <w:r>
        <w:t>There are no quota associations applicable to this quota.</w:t>
      </w:r>
    </w:p>
    <w:p>
      <w:pPr>
        <w:pStyle w:val="Heading1"/>
      </w:pPr>
      <w:r>
        <w:t>Suspension periods</w:t>
      </w:r>
    </w:p>
    <w:p>
      <w:pPr>
        <w:pStyle w:val="Smallintable"/>
      </w:pPr>
      <w:r>
        <w:t>If you know of any quota suspension periods that are due to take effect, please enter the dates in the table below</w:t>
      </w:r>
    </w:p>
    <w:tbl>
      <w:tblPr>
        <w:tblStyle w:val="LightList"/>
        <w:tblW w:type="auto" w:w="0"/>
        <w:tblLook w:firstColumn="1" w:firstRow="1" w:lastColumn="0" w:lastRow="0" w:noHBand="0" w:noVBand="1" w:val="04A0"/>
      </w:tblPr>
      <w:tblGrid>
        <w:gridCol w:w="3513"/>
        <w:gridCol w:w="3513"/>
        <w:gridCol w:w="3513"/>
      </w:tblGrid>
      <w:tr>
        <w:trPr>
          <w:tblHeader w:val="true"/>
        </w:trPr>
        <w:tc>
          <w:tcPr>
            <w:tcW w:type="dxa" w:w="3513"/>
          </w:tcPr>
          <w:p>
            <w:pPr>
              <w:pStyle w:val="Smallintable"/>
            </w:pPr>
            <w:r>
              <w:t>Suspension start</w:t>
            </w:r>
          </w:p>
        </w:tc>
        <w:tc>
          <w:tcPr>
            <w:tcW w:type="dxa" w:w="3513"/>
          </w:tcPr>
          <w:p>
            <w:pPr>
              <w:pStyle w:val="Smallintable"/>
            </w:pPr>
            <w:r>
              <w:t>Suspension end</w:t>
            </w:r>
          </w:p>
        </w:tc>
        <w:tc>
          <w:tcPr>
            <w:tcW w:type="dxa" w:w="3513"/>
          </w:tcPr>
          <w:p>
            <w:pPr>
              <w:pStyle w:val="Smallintable"/>
            </w:pPr>
            <w:r>
              <w:t>Reason</w:t>
            </w:r>
          </w:p>
        </w:tc>
      </w:tr>
      <w:tr>
        <w:tc>
          <w:tcPr>
            <w:tcW w:type="dxa" w:w="3513"/>
          </w:tcPr>
          <w:p>
            <w:pPr>
              <w:pStyle w:val="Smallintable"/>
            </w:pPr>
          </w:p>
        </w:tc>
        <w:tc>
          <w:tcPr>
            <w:tcW w:type="dxa" w:w="3513"/>
          </w:tcPr>
          <w:p>
            <w:pPr>
              <w:pStyle w:val="Smallintable"/>
            </w:pPr>
          </w:p>
        </w:tc>
        <w:tc>
          <w:tcPr>
            <w:tcW w:type="dxa" w:w="3513"/>
          </w:tcPr>
          <w:p>
            <w:pPr>
              <w:pStyle w:val="Smallintable"/>
            </w:pPr>
          </w:p>
        </w:tc>
      </w:tr>
      <w:tr>
        <w:tc>
          <w:tcPr>
            <w:tcW w:type="dxa" w:w="3513"/>
          </w:tcPr>
          <w:p>
            <w:pPr>
              <w:pStyle w:val="Smallintable"/>
            </w:pPr>
          </w:p>
        </w:tc>
        <w:tc>
          <w:tcPr>
            <w:tcW w:type="dxa" w:w="3513"/>
          </w:tcPr>
          <w:p>
            <w:pPr>
              <w:pStyle w:val="Smallintable"/>
            </w:pPr>
          </w:p>
        </w:tc>
        <w:tc>
          <w:tcPr>
            <w:tcW w:type="dxa" w:w="3513"/>
          </w:tcPr>
          <w:p>
            <w:pPr>
              <w:pStyle w:val="Smallintable"/>
            </w:pPr>
          </w:p>
        </w:tc>
      </w:tr>
    </w:tbl>
    <w:sectPr w:rsidR="00FC693F" w:rsidRPr="0006063C" w:rsidSect="00034616">
      <w:pgSz w:w="12240" w:h="15840"/>
      <w:pgMar w:top="850" w:right="850" w:bottom="850" w:left="85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24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customStyle="1" w:styleId="Normalintable">
    <w:name w:val="Normal in table"/>
    <w:basedOn w:val="Normal"/>
    <w:pPr>
      <w:spacing w:before="40" w:after="40"/>
    </w:pPr>
    <w:rPr>
      <w:rFonts w:ascii="Calibri" w:hAnsi="Calibri"/>
    </w:rPr>
  </w:style>
  <w:style w:type="paragraph" w:customStyle="1" w:styleId="Smallintable">
    <w:name w:val="Small in table"/>
    <w:basedOn w:val="Normalintable"/>
    <w:rPr>
      <w:sz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