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091789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Chocolate and other food preparations containing cocoa, in blocks, slabs or bars weighing more than 2 kg or liquid, paste, powder, granular or other bulk form, in containers or immediate packings of a content exceeding 2 kg, containing less 18% by weight of cocoa butter, containing 70% or more by weight of sucrose (including invert sugar expressed as sucrose)</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638,000.00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1806209592</w:t>
            </w:r>
          </w:p>
        </w:tc>
        <w:tc>
          <w:tcPr>
            <w:tcW w:type="dxa" w:w="8561"/>
          </w:tcPr>
          <w:p>
            <w:pPr>
              <w:pStyle w:val="Smallintable"/>
            </w:pPr>
            <w:r>
              <w:t>containing 70% or more by net weight of added cane or beet sugar of subheadings 1701??91 to 1701??99, for the preparation of chocolate beverages</w:t>
            </w:r>
          </w:p>
        </w:tc>
      </w:tr>
      <w:tr>
        <w:tc>
          <w:tcPr>
            <w:tcW w:type="dxa" w:w="1984"/>
          </w:tcPr>
          <w:p>
            <w:pPr>
              <w:pStyle w:val="Smallintable"/>
            </w:pPr>
            <w:r>
              <w:t>1806209599</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Regulation (EU) No 449/2010 amending Council Regulation (EC) No 747/2001 and repealing Regulations (EC) No 2276/2003, (EC) No 995/2005, (EC) No 1002/2007 and (EC) No 1455/2007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638,000.00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