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091792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Preparations with a basis of tea or mate, containing 70% or more by weight of sucrose/isoglucose</w:t>
            </w:r>
          </w:p>
        </w:tc>
      </w:tr>
      <w:tr>
        <w:tc>
          <w:tcPr>
            <w:tcW w:type="dxa" w:w="2608"/>
          </w:tcPr>
          <w:p>
            <w:pPr>
              <w:pStyle w:val="Smallintable"/>
            </w:pPr>
            <w:r>
              <w:t>Country</w:t>
            </w:r>
          </w:p>
        </w:tc>
        <w:tc>
          <w:tcPr>
            <w:tcW w:type="dxa" w:w="7937"/>
          </w:tcPr>
          <w:p>
            <w:pPr>
              <w:pStyle w:val="Smallintable"/>
            </w:pPr>
            <w:r>
              <w:t>Egypt</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638,000.00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R100449</w:t>
            </w:r>
          </w:p>
        </w:tc>
        <w:tc>
          <w:tcPr>
            <w:tcW w:type="dxa" w:w="8277"/>
          </w:tcPr>
          <w:p>
            <w:pPr>
              <w:pStyle w:val="Smallintable"/>
            </w:pPr>
            <w:r>
              <w:t>amending Council Regulation (EC) No 747/2001 as regards tariff quotas of the Union for certain agricultural and processed agricultural products originating in Egypt and repealing Regulations (EC) No 2276/2003, (EC) No 955/2005, (EC) No 1002/2007 and (EC) No 1455/2007</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EG</w:t>
            </w:r>
          </w:p>
        </w:tc>
        <w:tc>
          <w:tcPr>
            <w:tcW w:type="dxa" w:w="8277"/>
          </w:tcPr>
          <w:p>
            <w:pPr>
              <w:pStyle w:val="Smallintable"/>
            </w:pPr>
            <w:r>
              <w:t>Egypt</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2101209885</w:t>
            </w:r>
          </w:p>
        </w:tc>
        <w:tc>
          <w:tcPr>
            <w:tcW w:type="dxa" w:w="8561"/>
          </w:tcPr>
          <w:p>
            <w:pPr>
              <w:pStyle w:val="Smallintable"/>
            </w:pPr>
            <w:r>
              <w:t>Containing 70|% or more by weight of sucrose (including invert sugar expressed as sucrose) or isoglucose expressed as sucrose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Commission Regulation (EU) No 449/2010 amending Council Regulation (EC) No 747/2001 and repealing Regulations (EC) No 2276/2003, (EC) No 995/2005, (EC) No 1002/2007 and (EC) No 1455/2007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638,000.00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