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fresh</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01-10-2017 - 30-04-2018</w:t>
            </w:r>
          </w:p>
        </w:tc>
      </w:tr>
      <w:tr>
        <w:tc>
          <w:tcPr>
            <w:tcW w:type="dxa" w:w="2608"/>
          </w:tcPr>
          <w:p>
            <w:pPr>
              <w:pStyle w:val="Smallintable"/>
            </w:pPr>
            <w:r>
              <w:t>Overall quota volume</w:t>
            </w:r>
          </w:p>
        </w:tc>
        <w:tc>
          <w:tcPr>
            <w:tcW w:type="dxa" w:w="7937"/>
          </w:tcPr>
          <w:p>
            <w:pPr>
              <w:pStyle w:val="Smallintable"/>
            </w:pPr>
            <w:r>
              <w:t>11,687,000.00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0810100000</w:t>
            </w:r>
          </w:p>
        </w:tc>
        <w:tc>
          <w:tcPr>
            <w:tcW w:type="dxa" w:w="8561"/>
          </w:tcPr>
          <w:p>
            <w:pPr>
              <w:pStyle w:val="Smallintable"/>
            </w:pPr>
            <w:r>
              <w:t>Strawberries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2017/991 of 12 June 2017 amending Council Regulation (EC) No 747/2001 as regards the volume of the Union tariff quota for fresh strawberries originating in Egypt (OJ L 149/64)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30-04-19</w:t>
            </w:r>
          </w:p>
        </w:tc>
        <w:tc>
          <w:tcPr>
            <w:tcW w:type="dxa" w:w="1531"/>
          </w:tcPr>
          <w:p>
            <w:pPr>
              <w:pStyle w:val="Smallintable"/>
            </w:pPr>
            <w:r>
              <w:t>7 months</w:t>
            </w:r>
          </w:p>
        </w:tc>
        <w:tc>
          <w:tcPr>
            <w:tcW w:type="dxa" w:w="1644"/>
          </w:tcPr>
          <w:p>
            <w:pPr>
              <w:pStyle w:val="Smallintable"/>
            </w:pPr>
            <w:r>
              <w:t>11,687,000.00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