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091834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Bananas, fresh excluding plantains</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R080821</w:t>
            </w:r>
          </w:p>
        </w:tc>
        <w:tc>
          <w:tcPr>
            <w:tcW w:type="dxa" w:w="8277"/>
          </w:tcPr>
          <w:p>
            <w:pPr>
              <w:pStyle w:val="Smallintable"/>
            </w:pPr>
            <w:r>
              <w:t>amending Council Regulation (EC) No 1362/2000 as regards the opening of a Community tariff quota for bananas originating in Mexico</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0803901000</w:t>
            </w:r>
          </w:p>
        </w:tc>
        <w:tc>
          <w:tcPr>
            <w:tcW w:type="dxa" w:w="8561"/>
          </w:tcPr>
          <w:p>
            <w:pPr>
              <w:pStyle w:val="Smallintable"/>
            </w:pPr>
            <w:r>
              <w:t>Fresh</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821/2008 of 18 August 2008 - L 221, p. 23.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