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091849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Melons, fresh, January, April and May, October to December</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01-10-2017 - 31-05-2018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0807190000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0807190000</w:t>
            </w:r>
          </w:p>
        </w:tc>
        <w:tc>
          <w:tcPr>
            <w:tcW w:type="dxa" w:w="4706"/>
          </w:tcPr>
          <w:p>
            <w:pPr>
              <w:pStyle w:val="Smallintable"/>
            </w:pPr>
            <w:r>
              <w:t>143 [Preferential tariff quota]</w:t>
            </w:r>
          </w:p>
        </w:tc>
        <w:tc>
          <w:tcPr>
            <w:tcW w:type="dxa" w:w="3855"/>
          </w:tcPr>
          <w:p>
            <w:pPr>
              <w:pStyle w:val="Smallintable"/>
            </w:pPr>
            <w:r>
              <w:t>2.6%</w:t>
            </w:r>
          </w:p>
        </w:tc>
      </w:tr>
      <w:tr>
        <w:tc>
          <w:tcPr>
            <w:tcW w:type="dxa" w:w="1984"/>
          </w:tcPr>
          <w:p>
            <w:pPr>
              <w:pStyle w:val="Smallintable"/>
            </w:pPr>
            <w:r>
              <w:t>0807190000</w:t>
            </w:r>
          </w:p>
        </w:tc>
        <w:tc>
          <w:tcPr>
            <w:tcW w:type="dxa" w:w="4706"/>
          </w:tcPr>
          <w:p>
            <w:pPr>
              <w:pStyle w:val="Smallintable"/>
            </w:pPr>
            <w:r>
              <w:t>143 [Preferential tariff quota]</w:t>
            </w:r>
          </w:p>
        </w:tc>
        <w:tc>
          <w:tcPr>
            <w:tcW w:type="dxa" w:w="3855"/>
          </w:tcPr>
          <w:p>
            <w:pPr>
              <w:pStyle w:val="Smallintable"/>
            </w:pPr>
            <w:r>
              <w:t>2.6%</w:t>
            </w:r>
          </w:p>
        </w:tc>
      </w:tr>
      <w:tr>
        <w:tc>
          <w:tcPr>
            <w:tcW w:type="dxa" w:w="1984"/>
          </w:tcPr>
          <w:p>
            <w:pPr>
              <w:pStyle w:val="Smallintable"/>
            </w:pPr>
            <w:r>
              <w:t>0807190000</w:t>
            </w:r>
          </w:p>
        </w:tc>
        <w:tc>
          <w:tcPr>
            <w:tcW w:type="dxa" w:w="4706"/>
          </w:tcPr>
          <w:p>
            <w:pPr>
              <w:pStyle w:val="Smallintable"/>
            </w:pPr>
            <w:r>
              <w:t>143 [Preferential tariff quota]</w:t>
            </w:r>
          </w:p>
        </w:tc>
        <w:tc>
          <w:tcPr>
            <w:tcW w:type="dxa" w:w="3855"/>
          </w:tcPr>
          <w:p>
            <w:pPr>
              <w:pStyle w:val="Smallintable"/>
            </w:pPr>
            <w:r>
              <w:t>2.6%</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01-10-18 to 31-05-19</w:t>
            </w:r>
          </w:p>
        </w:tc>
        <w:tc>
          <w:tcPr>
            <w:tcW w:type="dxa" w:w="1531"/>
          </w:tcPr>
          <w:p>
            <w:pPr>
              <w:pStyle w:val="Smallintable"/>
            </w:pPr>
            <w:r>
              <w:t>8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