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1604142100</w:t>
            </w:r>
          </w:p>
        </w:tc>
        <w:tc>
          <w:tcPr>
            <w:tcW w:type="dxa" w:w="8561"/>
          </w:tcPr>
          <w:p>
            <w:pPr>
              <w:pStyle w:val="Smallintable"/>
            </w:pPr>
            <w:r>
              <w:t>In vegetable oil</w:t>
            </w:r>
          </w:p>
        </w:tc>
      </w:tr>
      <w:tr>
        <w:tc>
          <w:tcPr>
            <w:tcW w:type="dxa" w:w="1984"/>
          </w:tcPr>
          <w:p>
            <w:pPr>
              <w:pStyle w:val="Smallintable"/>
            </w:pPr>
            <w:r>
              <w:t>1604142800</w:t>
            </w:r>
          </w:p>
        </w:tc>
        <w:tc>
          <w:tcPr>
            <w:tcW w:type="dxa" w:w="8561"/>
          </w:tcPr>
          <w:p>
            <w:pPr>
              <w:pStyle w:val="Smallintable"/>
            </w:pPr>
            <w:r>
              <w:t>Other</w:t>
            </w:r>
          </w:p>
        </w:tc>
      </w:tr>
      <w:tr>
        <w:tc>
          <w:tcPr>
            <w:tcW w:type="dxa" w:w="1984"/>
          </w:tcPr>
          <w:p>
            <w:pPr>
              <w:pStyle w:val="Smallintable"/>
            </w:pPr>
            <w:r>
              <w:t>1604143100</w:t>
            </w:r>
          </w:p>
        </w:tc>
        <w:tc>
          <w:tcPr>
            <w:tcW w:type="dxa" w:w="8561"/>
          </w:tcPr>
          <w:p>
            <w:pPr>
              <w:pStyle w:val="Smallintable"/>
            </w:pPr>
            <w:r>
              <w:t>In vegetable oil</w:t>
            </w:r>
          </w:p>
        </w:tc>
      </w:tr>
      <w:tr>
        <w:tc>
          <w:tcPr>
            <w:tcW w:type="dxa" w:w="1984"/>
          </w:tcPr>
          <w:p>
            <w:pPr>
              <w:pStyle w:val="Smallintable"/>
            </w:pPr>
            <w:r>
              <w:t>1604143800</w:t>
            </w:r>
          </w:p>
        </w:tc>
        <w:tc>
          <w:tcPr>
            <w:tcW w:type="dxa" w:w="8561"/>
          </w:tcPr>
          <w:p>
            <w:pPr>
              <w:pStyle w:val="Smallintable"/>
            </w:pPr>
            <w:r>
              <w:t>Other</w:t>
            </w:r>
          </w:p>
        </w:tc>
      </w:tr>
      <w:tr>
        <w:tc>
          <w:tcPr>
            <w:tcW w:type="dxa" w:w="1984"/>
          </w:tcPr>
          <w:p>
            <w:pPr>
              <w:pStyle w:val="Smallintable"/>
            </w:pPr>
            <w:r>
              <w:t>1604144100</w:t>
            </w:r>
          </w:p>
        </w:tc>
        <w:tc>
          <w:tcPr>
            <w:tcW w:type="dxa" w:w="8561"/>
          </w:tcPr>
          <w:p>
            <w:pPr>
              <w:pStyle w:val="Smallintable"/>
            </w:pPr>
            <w:r>
              <w:t>In vegetable oil</w:t>
            </w:r>
          </w:p>
        </w:tc>
      </w:tr>
      <w:tr>
        <w:tc>
          <w:tcPr>
            <w:tcW w:type="dxa" w:w="1984"/>
          </w:tcPr>
          <w:p>
            <w:pPr>
              <w:pStyle w:val="Smallintable"/>
            </w:pPr>
            <w:r>
              <w:t>1604144800</w:t>
            </w:r>
          </w:p>
        </w:tc>
        <w:tc>
          <w:tcPr>
            <w:tcW w:type="dxa" w:w="8561"/>
          </w:tcPr>
          <w:p>
            <w:pPr>
              <w:pStyle w:val="Smallintable"/>
            </w:pPr>
            <w:r>
              <w:t>Other</w:t>
            </w:r>
          </w:p>
        </w:tc>
      </w:tr>
      <w:tr>
        <w:tc>
          <w:tcPr>
            <w:tcW w:type="dxa" w:w="1984"/>
          </w:tcPr>
          <w:p>
            <w:pPr>
              <w:pStyle w:val="Smallintable"/>
            </w:pPr>
            <w:r>
              <w:t>1604149000</w:t>
            </w:r>
          </w:p>
        </w:tc>
        <w:tc>
          <w:tcPr>
            <w:tcW w:type="dxa" w:w="8561"/>
          </w:tcPr>
          <w:p>
            <w:pPr>
              <w:pStyle w:val="Smallintable"/>
            </w:pPr>
            <w:r>
              <w:t>Bonito (Sarda spp.)</w:t>
            </w:r>
          </w:p>
        </w:tc>
      </w:tr>
      <w:tr>
        <w:tc>
          <w:tcPr>
            <w:tcW w:type="dxa" w:w="1984"/>
          </w:tcPr>
          <w:p>
            <w:pPr>
              <w:pStyle w:val="Smallintable"/>
            </w:pPr>
            <w:r>
              <w:t>1604193900</w:t>
            </w:r>
          </w:p>
        </w:tc>
        <w:tc>
          <w:tcPr>
            <w:tcW w:type="dxa" w:w="8561"/>
          </w:tcPr>
          <w:p>
            <w:pPr>
              <w:pStyle w:val="Smallintable"/>
            </w:pPr>
            <w:r>
              <w:t>Other</w:t>
            </w:r>
          </w:p>
        </w:tc>
      </w:tr>
      <w:tr>
        <w:tc>
          <w:tcPr>
            <w:tcW w:type="dxa" w:w="1984"/>
          </w:tcPr>
          <w:p>
            <w:pPr>
              <w:pStyle w:val="Smallintable"/>
            </w:pPr>
            <w:r>
              <w:t>1604207000</w:t>
            </w:r>
          </w:p>
        </w:tc>
        <w:tc>
          <w:tcPr>
            <w:tcW w:type="dxa" w:w="8561"/>
          </w:tcPr>
          <w:p>
            <w:pPr>
              <w:pStyle w:val="Smallintable"/>
            </w:pPr>
            <w:r>
              <w:t>Of tuna, skipjack or other fish of the genus Euthynnus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1604142100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1604142800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1604143100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1604143800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1604144100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1604144800</w:t>
            </w:r>
          </w:p>
        </w:tc>
        <w:tc>
          <w:tcPr>
            <w:tcW w:type="dxa" w:w="4706"/>
          </w:tcPr>
          <w:p>
            <w:pPr>
              <w:pStyle w:val="Smallintable"/>
            </w:pPr>
            <w:r>
              <w:t>143 [Preferential tariff quota]</w:t>
            </w:r>
          </w:p>
        </w:tc>
        <w:tc>
          <w:tcPr>
            <w:tcW w:type="dxa" w:w="3855"/>
          </w:tcPr>
          <w:p>
            <w:pPr>
              <w:pStyle w:val="Smallintable"/>
            </w:pPr>
            <w:r>
              <w:t>6.8%</w:t>
            </w:r>
          </w:p>
        </w:tc>
      </w:tr>
      <w:tr>
        <w:tc>
          <w:tcPr>
            <w:tcW w:type="dxa" w:w="1984"/>
          </w:tcPr>
          <w:p>
            <w:pPr>
              <w:pStyle w:val="Smallintable"/>
            </w:pPr>
            <w:r>
              <w:t>1604149000</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1604193900</w:t>
            </w:r>
          </w:p>
        </w:tc>
        <w:tc>
          <w:tcPr>
            <w:tcW w:type="dxa" w:w="4706"/>
          </w:tcPr>
          <w:p>
            <w:pPr>
              <w:pStyle w:val="Smallintable"/>
            </w:pPr>
            <w:r>
              <w:t>143 [Preferential tariff quota]</w:t>
            </w:r>
          </w:p>
        </w:tc>
        <w:tc>
          <w:tcPr>
            <w:tcW w:type="dxa" w:w="3855"/>
          </w:tcPr>
          <w:p>
            <w:pPr>
              <w:pStyle w:val="Smallintable"/>
            </w:pPr>
            <w:r>
              <w:t>6.8%</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