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091863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Orange juice, unfermented</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2009111100</w:t>
            </w:r>
          </w:p>
        </w:tc>
        <w:tc>
          <w:tcPr>
            <w:tcW w:type="dxa" w:w="8561"/>
          </w:tcPr>
          <w:p>
            <w:pPr>
              <w:pStyle w:val="Smallintable"/>
            </w:pPr>
            <w:r>
              <w:t>Of a value not exceeding ???|30|per 100|kg net weight</w:t>
            </w:r>
          </w:p>
        </w:tc>
      </w:tr>
      <w:tr>
        <w:tc>
          <w:tcPr>
            <w:tcW w:type="dxa" w:w="1984"/>
          </w:tcPr>
          <w:p>
            <w:pPr>
              <w:pStyle w:val="Smallintable"/>
            </w:pPr>
            <w:r>
              <w:t>2009111900</w:t>
            </w:r>
          </w:p>
        </w:tc>
        <w:tc>
          <w:tcPr>
            <w:tcW w:type="dxa" w:w="8561"/>
          </w:tcPr>
          <w:p>
            <w:pPr>
              <w:pStyle w:val="Smallintable"/>
            </w:pPr>
            <w:r>
              <w:t>Other</w:t>
            </w:r>
          </w:p>
        </w:tc>
      </w:tr>
      <w:tr>
        <w:tc>
          <w:tcPr>
            <w:tcW w:type="dxa" w:w="1984"/>
          </w:tcPr>
          <w:p>
            <w:pPr>
              <w:pStyle w:val="Smallintable"/>
            </w:pPr>
            <w:r>
              <w:t>2009119100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2009120000</w:t>
            </w:r>
          </w:p>
        </w:tc>
        <w:tc>
          <w:tcPr>
            <w:tcW w:type="dxa" w:w="8561"/>
          </w:tcPr>
          <w:p>
            <w:pPr>
              <w:pStyle w:val="Smallintable"/>
            </w:pPr>
            <w:r>
              <w:t>Not frozen, of a Brix value not exceeding 20</w:t>
            </w:r>
          </w:p>
        </w:tc>
      </w:tr>
      <w:tr>
        <w:tc>
          <w:tcPr>
            <w:tcW w:type="dxa" w:w="1984"/>
          </w:tcPr>
          <w:p>
            <w:pPr>
              <w:pStyle w:val="Smallintable"/>
            </w:pPr>
            <w:r>
              <w:t>2009191100</w:t>
            </w:r>
          </w:p>
        </w:tc>
        <w:tc>
          <w:tcPr>
            <w:tcW w:type="dxa" w:w="8561"/>
          </w:tcPr>
          <w:p>
            <w:pPr>
              <w:pStyle w:val="Smallintable"/>
            </w:pPr>
            <w:r>
              <w:t>Of a value not exceeding ???|30|per 100|kg net weight</w:t>
            </w:r>
          </w:p>
        </w:tc>
      </w:tr>
      <w:tr>
        <w:tc>
          <w:tcPr>
            <w:tcW w:type="dxa" w:w="1984"/>
          </w:tcPr>
          <w:p>
            <w:pPr>
              <w:pStyle w:val="Smallintable"/>
            </w:pPr>
            <w:r>
              <w:t>2009191900</w:t>
            </w:r>
          </w:p>
        </w:tc>
        <w:tc>
          <w:tcPr>
            <w:tcW w:type="dxa" w:w="8561"/>
          </w:tcPr>
          <w:p>
            <w:pPr>
              <w:pStyle w:val="Smallintable"/>
            </w:pPr>
            <w:r>
              <w:t>Other</w:t>
            </w:r>
          </w:p>
        </w:tc>
      </w:tr>
      <w:tr>
        <w:tc>
          <w:tcPr>
            <w:tcW w:type="dxa" w:w="1984"/>
          </w:tcPr>
          <w:p>
            <w:pPr>
              <w:pStyle w:val="Smallintable"/>
            </w:pPr>
            <w:r>
              <w:t>2009199100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2009199800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2009111100</w:t>
            </w:r>
          </w:p>
        </w:tc>
        <w:tc>
          <w:tcPr>
            <w:tcW w:type="dxa" w:w="4706"/>
          </w:tcPr>
          <w:p>
            <w:pPr>
              <w:pStyle w:val="Smallintable"/>
            </w:pPr>
            <w:r>
              <w:t>143 [Preferential tariff quota]</w:t>
            </w:r>
          </w:p>
        </w:tc>
        <w:tc>
          <w:tcPr>
            <w:tcW w:type="dxa" w:w="3855"/>
          </w:tcPr>
          <w:p>
            <w:pPr>
              <w:pStyle w:val="Smallintable"/>
            </w:pPr>
            <w:r>
              <w:t>15.0% + 10.3 EUR / 100 kg</w:t>
            </w:r>
          </w:p>
        </w:tc>
      </w:tr>
      <w:tr>
        <w:tc>
          <w:tcPr>
            <w:tcW w:type="dxa" w:w="1984"/>
          </w:tcPr>
          <w:p>
            <w:pPr>
              <w:pStyle w:val="Smallintable"/>
            </w:pPr>
            <w:r>
              <w:t>2009111900</w:t>
            </w:r>
          </w:p>
        </w:tc>
        <w:tc>
          <w:tcPr>
            <w:tcW w:type="dxa" w:w="4706"/>
          </w:tcPr>
          <w:p>
            <w:pPr>
              <w:pStyle w:val="Smallintable"/>
            </w:pPr>
            <w:r>
              <w:t>143 [Preferential tariff quota]</w:t>
            </w:r>
          </w:p>
        </w:tc>
        <w:tc>
          <w:tcPr>
            <w:tcW w:type="dxa" w:w="3855"/>
          </w:tcPr>
          <w:p>
            <w:pPr>
              <w:pStyle w:val="Smallintable"/>
            </w:pPr>
            <w:r>
              <w:t>14.2%</w:t>
            </w:r>
          </w:p>
        </w:tc>
      </w:tr>
      <w:tr>
        <w:tc>
          <w:tcPr>
            <w:tcW w:type="dxa" w:w="1984"/>
          </w:tcPr>
          <w:p>
            <w:pPr>
              <w:pStyle w:val="Smallintable"/>
            </w:pPr>
            <w:r>
              <w:t>2009119100</w:t>
            </w:r>
          </w:p>
        </w:tc>
        <w:tc>
          <w:tcPr>
            <w:tcW w:type="dxa" w:w="4706"/>
          </w:tcPr>
          <w:p>
            <w:pPr>
              <w:pStyle w:val="Smallintable"/>
            </w:pPr>
            <w:r>
              <w:t>143 [Preferential tariff quota]</w:t>
            </w:r>
          </w:p>
        </w:tc>
        <w:tc>
          <w:tcPr>
            <w:tcW w:type="dxa" w:w="3855"/>
          </w:tcPr>
          <w:p>
            <w:pPr>
              <w:pStyle w:val="Smallintable"/>
            </w:pPr>
            <w:r>
              <w:t>5.8% + 10.3 EUR / 100 kg</w:t>
            </w:r>
          </w:p>
        </w:tc>
      </w:tr>
      <w:tr>
        <w:tc>
          <w:tcPr>
            <w:tcW w:type="dxa" w:w="1984"/>
          </w:tcPr>
          <w:p>
            <w:pPr>
              <w:pStyle w:val="Smallintable"/>
            </w:pPr>
            <w:r>
              <w:t>2009120000</w:t>
            </w:r>
          </w:p>
        </w:tc>
        <w:tc>
          <w:tcPr>
            <w:tcW w:type="dxa" w:w="4706"/>
          </w:tcPr>
          <w:p>
            <w:pPr>
              <w:pStyle w:val="Smallintable"/>
            </w:pPr>
            <w:r>
              <w:t>143 [Preferential tariff quota]</w:t>
            </w:r>
          </w:p>
        </w:tc>
        <w:tc>
          <w:tcPr>
            <w:tcW w:type="dxa" w:w="3855"/>
          </w:tcPr>
          <w:p>
            <w:pPr>
              <w:pStyle w:val="Smallintable"/>
            </w:pPr>
            <w:r>
              <w:t>4.2%</w:t>
            </w:r>
          </w:p>
        </w:tc>
      </w:tr>
      <w:tr>
        <w:tc>
          <w:tcPr>
            <w:tcW w:type="dxa" w:w="1984"/>
          </w:tcPr>
          <w:p>
            <w:pPr>
              <w:pStyle w:val="Smallintable"/>
            </w:pPr>
            <w:r>
              <w:t>2009191100</w:t>
            </w:r>
          </w:p>
        </w:tc>
        <w:tc>
          <w:tcPr>
            <w:tcW w:type="dxa" w:w="4706"/>
          </w:tcPr>
          <w:p>
            <w:pPr>
              <w:pStyle w:val="Smallintable"/>
            </w:pPr>
            <w:r>
              <w:t>143 [Preferential tariff quota]</w:t>
            </w:r>
          </w:p>
        </w:tc>
        <w:tc>
          <w:tcPr>
            <w:tcW w:type="dxa" w:w="3855"/>
          </w:tcPr>
          <w:p>
            <w:pPr>
              <w:pStyle w:val="Smallintable"/>
            </w:pPr>
            <w:r>
              <w:t>15.0% + 10.3 EUR / 100 kg</w:t>
            </w:r>
          </w:p>
        </w:tc>
      </w:tr>
      <w:tr>
        <w:tc>
          <w:tcPr>
            <w:tcW w:type="dxa" w:w="1984"/>
          </w:tcPr>
          <w:p>
            <w:pPr>
              <w:pStyle w:val="Smallintable"/>
            </w:pPr>
            <w:r>
              <w:t>2009191900</w:t>
            </w:r>
          </w:p>
        </w:tc>
        <w:tc>
          <w:tcPr>
            <w:tcW w:type="dxa" w:w="4706"/>
          </w:tcPr>
          <w:p>
            <w:pPr>
              <w:pStyle w:val="Smallintable"/>
            </w:pPr>
            <w:r>
              <w:t>143 [Preferential tariff quota]</w:t>
            </w:r>
          </w:p>
        </w:tc>
        <w:tc>
          <w:tcPr>
            <w:tcW w:type="dxa" w:w="3855"/>
          </w:tcPr>
          <w:p>
            <w:pPr>
              <w:pStyle w:val="Smallintable"/>
            </w:pPr>
            <w:r>
              <w:t>14.2%</w:t>
            </w:r>
          </w:p>
        </w:tc>
      </w:tr>
      <w:tr>
        <w:tc>
          <w:tcPr>
            <w:tcW w:type="dxa" w:w="1984"/>
          </w:tcPr>
          <w:p>
            <w:pPr>
              <w:pStyle w:val="Smallintable"/>
            </w:pPr>
            <w:r>
              <w:t>2009199100</w:t>
            </w:r>
          </w:p>
        </w:tc>
        <w:tc>
          <w:tcPr>
            <w:tcW w:type="dxa" w:w="4706"/>
          </w:tcPr>
          <w:p>
            <w:pPr>
              <w:pStyle w:val="Smallintable"/>
            </w:pPr>
            <w:r>
              <w:t>143 [Preferential tariff quota]</w:t>
            </w:r>
          </w:p>
        </w:tc>
        <w:tc>
          <w:tcPr>
            <w:tcW w:type="dxa" w:w="3855"/>
          </w:tcPr>
          <w:p>
            <w:pPr>
              <w:pStyle w:val="Smallintable"/>
            </w:pPr>
            <w:r>
              <w:t>5.8% + 10.3 EUR / 100 kg</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