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091865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Orange juice, frozen</w:t>
            </w:r>
          </w:p>
        </w:tc>
      </w:tr>
      <w:tr>
        <w:tc>
          <w:tcPr>
            <w:tcW w:type="dxa" w:w="2608"/>
          </w:tcPr>
          <w:p>
            <w:pPr>
              <w:pStyle w:val="Smallintable"/>
            </w:pPr>
            <w:r>
              <w:t>Country</w:t>
            </w:r>
          </w:p>
        </w:tc>
        <w:tc>
          <w:tcPr>
            <w:tcW w:type="dxa" w:w="7937"/>
          </w:tcPr>
          <w:p>
            <w:pPr>
              <w:pStyle w:val="Smallintable"/>
            </w:pPr>
            <w:r>
              <w:t>Mexico</w:t>
            </w:r>
          </w:p>
        </w:tc>
      </w:tr>
      <w:tr>
        <w:tc>
          <w:tcPr>
            <w:tcW w:type="dxa" w:w="2608"/>
          </w:tcPr>
          <w:p>
            <w:pPr>
              <w:pStyle w:val="Smallintable"/>
            </w:pPr>
            <w:r>
              <w:t>Application period</w:t>
            </w:r>
          </w:p>
        </w:tc>
        <w:tc>
          <w:tcPr>
            <w:tcW w:type="dxa" w:w="7937"/>
          </w:tcPr>
          <w:p>
            <w:pPr>
              <w:pStyle w:val="Smallintable"/>
            </w:pPr>
            <w:r>
              <w:t>01-07-2017 - 30-06-2018</w:t>
            </w:r>
          </w:p>
        </w:tc>
      </w:tr>
      <w:tr>
        <w:tc>
          <w:tcPr>
            <w:tcW w:type="dxa" w:w="2608"/>
          </w:tcPr>
          <w:p>
            <w:pPr>
              <w:pStyle w:val="Smallintable"/>
            </w:pPr>
            <w:r>
              <w:t>Overall quota volume</w:t>
            </w:r>
          </w:p>
        </w:tc>
        <w:tc>
          <w:tcPr>
            <w:tcW w:type="dxa" w:w="7937"/>
          </w:tcPr>
          <w:p>
            <w:pPr>
              <w:pStyle w:val="Smallintable"/>
            </w:pPr>
            <w:r>
              <w:t>30,000,000.00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R001362</w:t>
            </w:r>
          </w:p>
        </w:tc>
        <w:tc>
          <w:tcPr>
            <w:tcW w:type="dxa" w:w="8277"/>
          </w:tcPr>
          <w:p>
            <w:pPr>
              <w:pStyle w:val="Smallintable"/>
            </w:pPr>
            <w:r>
              <w:t>implementing for the Community the tariff provisions of Decision No 2/2000 of the Joint Council under the Interim Agreement on Trade and Trade-related matters between the European Community and the United Mexican States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MX</w:t>
            </w:r>
          </w:p>
        </w:tc>
        <w:tc>
          <w:tcPr>
            <w:tcW w:type="dxa" w:w="8277"/>
          </w:tcPr>
          <w:p>
            <w:pPr>
              <w:pStyle w:val="Smallintable"/>
            </w:pPr>
            <w:r>
              <w:t>Mexico</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2009119911</w:t>
            </w:r>
          </w:p>
        </w:tc>
        <w:tc>
          <w:tcPr>
            <w:tcW w:type="dxa" w:w="8561"/>
          </w:tcPr>
          <w:p>
            <w:pPr>
              <w:pStyle w:val="Smallintable"/>
            </w:pPr>
            <w:r>
              <w:t>with a degree of concentration higher than 20!o! brix</w:t>
            </w:r>
          </w:p>
        </w:tc>
      </w:tr>
      <w:tr>
        <w:tc>
          <w:tcPr>
            <w:tcW w:type="dxa" w:w="1984"/>
          </w:tcPr>
          <w:p>
            <w:pPr>
              <w:pStyle w:val="Smallintable"/>
            </w:pPr>
            <w:r>
              <w:t>2009119992</w:t>
            </w:r>
          </w:p>
        </w:tc>
        <w:tc>
          <w:tcPr>
            <w:tcW w:type="dxa" w:w="8561"/>
          </w:tcPr>
          <w:p>
            <w:pPr>
              <w:pStyle w:val="Smallintable"/>
            </w:pPr>
            <w:r>
              <w:t>with a degree of concentration higher than 20!o! brix</w:t>
            </w:r>
          </w:p>
        </w:tc>
      </w:tr>
      <w:tr>
        <w:tc>
          <w:tcPr>
            <w:tcW w:type="dxa" w:w="1984"/>
          </w:tcPr>
          <w:p>
            <w:pPr>
              <w:pStyle w:val="Smallintable"/>
            </w:pPr>
            <w:r>
              <w:t>2009119996</w:t>
            </w:r>
          </w:p>
        </w:tc>
        <w:tc>
          <w:tcPr>
            <w:tcW w:type="dxa" w:w="8561"/>
          </w:tcPr>
          <w:p>
            <w:pPr>
              <w:pStyle w:val="Smallintable"/>
            </w:pPr>
            <w:r>
              <w:t>with a degree of concentration higher than 20!o! brix</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2009119911</w:t>
            </w:r>
          </w:p>
        </w:tc>
        <w:tc>
          <w:tcPr>
            <w:tcW w:type="dxa" w:w="4706"/>
          </w:tcPr>
          <w:p>
            <w:pPr>
              <w:pStyle w:val="Smallintable"/>
            </w:pPr>
            <w:r>
              <w:t>143 [Preferential tariff quota]</w:t>
            </w:r>
          </w:p>
        </w:tc>
        <w:tc>
          <w:tcPr>
            <w:tcW w:type="dxa" w:w="3855"/>
          </w:tcPr>
          <w:p>
            <w:pPr>
              <w:pStyle w:val="Smallintable"/>
            </w:pPr>
            <w:r>
              <w:t>2.9%</w:t>
            </w:r>
          </w:p>
        </w:tc>
      </w:tr>
      <w:tr>
        <w:tc>
          <w:tcPr>
            <w:tcW w:type="dxa" w:w="1984"/>
          </w:tcPr>
          <w:p>
            <w:pPr>
              <w:pStyle w:val="Smallintable"/>
            </w:pPr>
            <w:r>
              <w:t>2009119992</w:t>
            </w:r>
          </w:p>
        </w:tc>
        <w:tc>
          <w:tcPr>
            <w:tcW w:type="dxa" w:w="4706"/>
          </w:tcPr>
          <w:p>
            <w:pPr>
              <w:pStyle w:val="Smallintable"/>
            </w:pPr>
            <w:r>
              <w:t>143 [Preferential tariff quota]</w:t>
            </w:r>
          </w:p>
        </w:tc>
        <w:tc>
          <w:tcPr>
            <w:tcW w:type="dxa" w:w="3855"/>
          </w:tcPr>
          <w:p>
            <w:pPr>
              <w:pStyle w:val="Smallintable"/>
            </w:pPr>
            <w:r>
              <w:t>2.9%</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(EC) No 1362/2000 implementing for the Community the tariff provisions of Decision No 2/2000 of the Joint Council under the Interim Agreement on Trade and Trade-related matters between the European Community and the United Mexican States</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01-07-18 to 30-06-19</w:t>
            </w:r>
          </w:p>
        </w:tc>
        <w:tc>
          <w:tcPr>
            <w:tcW w:type="dxa" w:w="1531"/>
          </w:tcPr>
          <w:p>
            <w:pPr>
              <w:pStyle w:val="Smallintable"/>
            </w:pPr>
            <w:r>
              <w:t>12 months</w:t>
            </w:r>
          </w:p>
        </w:tc>
        <w:tc>
          <w:tcPr>
            <w:tcW w:type="dxa" w:w="1644"/>
          </w:tcPr>
          <w:p>
            <w:pPr>
              <w:pStyle w:val="Smallintable"/>
            </w:pPr>
            <w:r>
              <w:t>30,000,000.00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