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092106</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Boneless mutton/sheep</w:t>
            </w:r>
          </w:p>
        </w:tc>
      </w:tr>
      <w:tr>
        <w:tc>
          <w:tcPr>
            <w:tcW w:type="dxa" w:w="2608"/>
          </w:tcPr>
          <w:p>
            <w:pPr>
              <w:pStyle w:val="Smallintable"/>
            </w:pPr>
            <w:r>
              <w:t>Country</w:t>
            </w:r>
          </w:p>
        </w:tc>
        <w:tc>
          <w:tcPr>
            <w:tcW w:type="dxa" w:w="7937"/>
          </w:tcPr>
          <w:p>
            <w:pPr>
              <w:pStyle w:val="Smallintable"/>
            </w:pPr>
            <w:r>
              <w:t>Australia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19,186,000.00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Non preferential TQ</w:t>
            </w:r>
          </w:p>
        </w:tc>
      </w:tr>
      <w:tr>
        <w:tc>
          <w:tcPr>
            <w:tcW w:type="dxa" w:w="2608"/>
          </w:tcPr>
          <w:p>
            <w:pPr>
              <w:pStyle w:val="Smallintable"/>
            </w:pPr>
            <w:r>
              <w:t>Mechanism</w:t>
            </w:r>
          </w:p>
        </w:tc>
        <w:tc>
          <w:tcPr>
            <w:tcW w:type="dxa" w:w="7937"/>
          </w:tcPr>
          <w:p>
            <w:pPr>
              <w:pStyle w:val="Smallintable"/>
            </w:pPr>
            <w:r>
              <w:t>WTO</w:t>
            </w:r>
          </w:p>
        </w:tc>
      </w:tr>
      <w:tr>
        <w:tc>
          <w:tcPr>
            <w:tcW w:type="dxa" w:w="2608"/>
          </w:tcPr>
          <w:p>
            <w:pPr>
              <w:pStyle w:val="Smallintable"/>
            </w:pPr>
            <w:r>
              <w:t>Sector</w:t>
            </w:r>
          </w:p>
        </w:tc>
        <w:tc>
          <w:tcPr>
            <w:tcW w:type="dxa" w:w="7937"/>
          </w:tcPr>
          <w:p>
            <w:pPr>
              <w:pStyle w:val="Smallintable"/>
            </w:pPr>
            <w:r>
              <w:t>Sheepmeat</w:t>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R111354</w:t>
            </w:r>
          </w:p>
        </w:tc>
        <w:tc>
          <w:tcPr>
            <w:tcW w:type="dxa" w:w="8277"/>
          </w:tcPr>
          <w:p>
            <w:pPr>
              <w:pStyle w:val="Smallintable"/>
            </w:pPr>
            <w:r>
              <w:t>opening annual Union tariff quotas for sheep, goats, sheepmeat and goatmeat</w:t>
            </w:r>
          </w:p>
        </w:tc>
      </w:tr>
      <w:tr>
        <w:tc>
          <w:tcPr>
            <w:tcW w:type="dxa" w:w="2268"/>
          </w:tcPr>
          <w:p>
            <w:pPr>
              <w:pStyle w:val="Smallintable"/>
            </w:pPr>
            <w:r>
              <w:t>R180562</w:t>
            </w:r>
          </w:p>
        </w:tc>
        <w:tc>
          <w:tcPr>
            <w:tcW w:type="dxa" w:w="8277"/>
          </w:tcPr>
          <w:p>
            <w:pPr>
              <w:pStyle w:val="Smallintable"/>
            </w:pPr>
            <w:r>
              <w:t>amending Implementing Regulation (EU) No 1354/2011 opening annual Union tariff quotas for sheep, goats, sheepmeat and goatmeat</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AU</w:t>
            </w:r>
          </w:p>
        </w:tc>
        <w:tc>
          <w:tcPr>
            <w:tcW w:type="dxa" w:w="8277"/>
          </w:tcPr>
          <w:p>
            <w:pPr>
              <w:pStyle w:val="Smallintable"/>
            </w:pPr>
            <w:r>
              <w:t>Australia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0204230019</w:t>
            </w:r>
          </w:p>
        </w:tc>
        <w:tc>
          <w:tcPr>
            <w:tcW w:type="dxa" w:w="8561"/>
          </w:tcPr>
          <w:p>
            <w:pPr>
              <w:pStyle w:val="Smallintable"/>
            </w:pPr>
            <w:r>
              <w:t>Other</w:t>
            </w:r>
          </w:p>
        </w:tc>
      </w:tr>
      <w:tr>
        <w:tc>
          <w:tcPr>
            <w:tcW w:type="dxa" w:w="1984"/>
          </w:tcPr>
          <w:p>
            <w:pPr>
              <w:pStyle w:val="Smallintable"/>
            </w:pPr>
            <w:r>
              <w:t>0204230099</w:t>
            </w:r>
          </w:p>
        </w:tc>
        <w:tc>
          <w:tcPr>
            <w:tcW w:type="dxa" w:w="8561"/>
          </w:tcPr>
          <w:p>
            <w:pPr>
              <w:pStyle w:val="Smallintable"/>
            </w:pPr>
            <w:r>
              <w:t>Other</w:t>
            </w:r>
          </w:p>
        </w:tc>
      </w:tr>
      <w:tr>
        <w:tc>
          <w:tcPr>
            <w:tcW w:type="dxa" w:w="1984"/>
          </w:tcPr>
          <w:p>
            <w:pPr>
              <w:pStyle w:val="Smallintable"/>
            </w:pPr>
            <w:r>
              <w:t>0204439000</w:t>
            </w:r>
          </w:p>
        </w:tc>
        <w:tc>
          <w:tcPr>
            <w:tcW w:type="dxa" w:w="8561"/>
          </w:tcPr>
          <w:p>
            <w:pPr>
              <w:pStyle w:val="Smallintable"/>
            </w:pPr>
            <w:r>
              <w:t>Other</w:t>
            </w:r>
          </w:p>
        </w:tc>
      </w:tr>
      <w:tr>
        <w:tc>
          <w:tcPr>
            <w:tcW w:type="dxa" w:w="1984"/>
          </w:tcPr>
          <w:p>
            <w:pPr>
              <w:pStyle w:val="Smallintable"/>
            </w:pPr>
            <w:r>
              <w:t>0204503990</w:t>
            </w:r>
          </w:p>
        </w:tc>
        <w:tc>
          <w:tcPr>
            <w:tcW w:type="dxa" w:w="8561"/>
          </w:tcPr>
          <w:p>
            <w:pPr>
              <w:pStyle w:val="Smallintable"/>
            </w:pPr>
            <w:r>
              <w:t>Other</w:t>
            </w:r>
          </w:p>
        </w:tc>
      </w:tr>
      <w:tr>
        <w:tc>
          <w:tcPr>
            <w:tcW w:type="dxa" w:w="1984"/>
          </w:tcPr>
          <w:p>
            <w:pPr>
              <w:pStyle w:val="Smallintable"/>
            </w:pPr>
            <w:r>
              <w:t>0204507990</w:t>
            </w:r>
          </w:p>
        </w:tc>
        <w:tc>
          <w:tcPr>
            <w:tcW w:type="dxa" w:w="8561"/>
          </w:tcPr>
          <w:p>
            <w:pPr>
              <w:pStyle w:val="Smallintable"/>
            </w:pPr>
            <w:r>
              <w:t>Other</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Implementing Regulation (EU) No 1354/2011 opening annual Union tariff quotas for sheep, goats, sheepmeat and goatmeat JO L 338/36 of 21.12.2011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19,186,000.00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 table below lists the quota associations applicable to this quota.</w:t>
      </w:r>
    </w:p>
    <w:tbl>
      <w:tblPr>
        <w:tblStyle w:val="LightList"/>
        <w:tblW w:type="auto" w:w="0"/>
        <w:tblLook w:firstColumn="1" w:firstRow="1" w:lastColumn="0" w:lastRow="0" w:noHBand="0" w:noVBand="1" w:val="04A0"/>
      </w:tblPr>
      <w:tblGrid>
        <w:gridCol w:w="2635"/>
        <w:gridCol w:w="2635"/>
        <w:gridCol w:w="2635"/>
        <w:gridCol w:w="2635"/>
      </w:tblGrid>
      <w:tr>
        <w:trPr>
          <w:tblHeader w:val="true"/>
        </w:trPr>
        <w:tc>
          <w:tcPr>
            <w:tcW w:type="dxa" w:w="2635"/>
          </w:tcPr>
          <w:p>
            <w:pPr>
              <w:pStyle w:val="Normalintable"/>
            </w:pPr>
            <w:r>
              <w:t>Main order number</w:t>
            </w:r>
          </w:p>
        </w:tc>
        <w:tc>
          <w:tcPr>
            <w:tcW w:type="dxa" w:w="2635"/>
          </w:tcPr>
          <w:p>
            <w:pPr>
              <w:pStyle w:val="Normalintable"/>
            </w:pPr>
            <w:r>
              <w:t>Sub order number</w:t>
            </w:r>
          </w:p>
        </w:tc>
        <w:tc>
          <w:tcPr>
            <w:tcW w:type="dxa" w:w="2635"/>
          </w:tcPr>
          <w:p>
            <w:pPr>
              <w:pStyle w:val="Normalintable"/>
            </w:pPr>
            <w:r>
              <w:t>Relation type</w:t>
            </w:r>
          </w:p>
        </w:tc>
        <w:tc>
          <w:tcPr>
            <w:tcW w:type="dxa" w:w="2635"/>
          </w:tcPr>
          <w:p>
            <w:pPr>
              <w:pStyle w:val="Normalintable"/>
            </w:pPr>
            <w:r>
              <w:t>Coefficient</w:t>
            </w:r>
          </w:p>
        </w:tc>
      </w:tr>
      <w:tr>
        <w:tc>
          <w:tcPr>
            <w:tcW w:type="dxa" w:w="2635"/>
          </w:tcPr>
          <w:p>
            <w:pPr>
              <w:pStyle w:val="Normalintable"/>
            </w:pPr>
            <w:r>
              <w:t>092012</w:t>
            </w:r>
          </w:p>
        </w:tc>
        <w:tc>
          <w:tcPr>
            <w:tcW w:type="dxa" w:w="2635"/>
          </w:tcPr>
          <w:p>
            <w:pPr>
              <w:pStyle w:val="Normalintable"/>
            </w:pPr>
            <w:r>
              <w:t>092106</w:t>
            </w:r>
          </w:p>
        </w:tc>
        <w:tc>
          <w:tcPr>
            <w:tcW w:type="dxa" w:w="2635"/>
          </w:tcPr>
          <w:p>
            <w:pPr>
              <w:pStyle w:val="Normalintable"/>
            </w:pPr>
            <w:r>
              <w:t>EQ</w:t>
            </w:r>
          </w:p>
        </w:tc>
        <w:tc>
          <w:tcPr>
            <w:tcW w:type="dxa" w:w="2635"/>
          </w:tcPr>
          <w:p>
            <w:pPr>
              <w:pStyle w:val="Normalintable"/>
            </w:pPr>
            <w:r>
              <w:t>1.81000</w:t>
            </w:r>
          </w:p>
        </w:tc>
      </w:tr>
    </w:tbl>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