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090690</w:t>
            </w:r>
          </w:p>
        </w:tc>
        <w:tc>
          <w:tcPr>
            <w:tcW w:type="dxa" w:w="2635"/>
          </w:tcPr>
          <w:p>
            <w:pPr>
              <w:pStyle w:val="Normalintable"/>
            </w:pPr>
            <w:r>
              <w:t>092129</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