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mutton/sheep,Faeroes</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090690</w:t>
            </w:r>
          </w:p>
        </w:tc>
        <w:tc>
          <w:tcPr>
            <w:tcW w:type="dxa" w:w="2635"/>
          </w:tcPr>
          <w:p>
            <w:pPr>
              <w:pStyle w:val="Normalintable"/>
            </w:pPr>
            <w:r>
              <w:t>092130</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