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5206000000</w:t>
            </w:r>
          </w:p>
        </w:tc>
        <w:tc>
          <w:tcPr>
            <w:tcW w:type="dxa" w:w="8561"/>
          </w:tcPr>
          <w:p>
            <w:pPr>
              <w:pStyle w:val="Smallintable"/>
            </w:pPr>
            <w:r>
              <w:t>Cotton yarn (other than sewing thread), containing less than 85|% by weight of cotton,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377,000.00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