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092624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2912420000</w:t>
            </w:r>
          </w:p>
        </w:tc>
        <w:tc>
          <w:tcPr>
            <w:tcW w:type="dxa" w:w="8561"/>
          </w:tcPr>
          <w:p>
            <w:pPr>
              <w:pStyle w:val="Smallintable"/>
            </w:pPr>
            <w:r>
              <w:t>Ethylvanillin (3-ethoxy-4-hydroxybenzaldehyde)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 Volume increased by Council Regulation (EU) 2018/913 (OJ L 162, 27/6/2018)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