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3824999287</w:t>
            </w:r>
          </w:p>
        </w:tc>
        <w:tc>
          <w:tcPr>
            <w:tcW w:type="dxa" w:w="8561"/>
          </w:tcPr>
          <w:p>
            <w:pPr>
              <w:pStyle w:val="Smallintable"/>
            </w:pPr>
            <w:r>
              <w:t>Acetophenone (CAS RN 98-86-2), with a purity by weight of 60|% or more but not more than 90|%</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