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092668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8714911021</w:t>
            </w:r>
          </w:p>
        </w:tc>
        <w:tc>
          <w:tcPr>
            <w:tcW w:type="dxa" w:w="8561"/>
          </w:tcPr>
          <w:p>
            <w:pPr>
              <w:pStyle w:val="Smallintable"/>
            </w:pPr>
            <w:r>
              <w:t>Constructed from carbon fibres and artificial resin, for use in the manufacture of bicycles</w:t>
            </w:r>
          </w:p>
        </w:tc>
      </w:tr>
      <w:tr>
        <w:tc>
          <w:tcPr>
            <w:tcW w:type="dxa" w:w="1984"/>
          </w:tcPr>
          <w:p>
            <w:pPr>
              <w:pStyle w:val="Smallintable"/>
            </w:pPr>
            <w:r>
              <w:t>8714911031</w:t>
            </w:r>
          </w:p>
        </w:tc>
        <w:tc>
          <w:tcPr>
            <w:tcW w:type="dxa" w:w="8561"/>
          </w:tcPr>
          <w:p>
            <w:pPr>
              <w:pStyle w:val="Smallintable"/>
            </w:pPr>
            <w:r>
              <w:t>Constructed from carbon fibres and artificial resin, for use in the manufacture of bicycles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Increase of volume: COUNCIL REGULATION (EU) 2017/1133 amending Regulation (EU) No 1388/2013 opening and providing for the management of autonomous tariff quotas of the Union for certain agricultural and industrial products (see OJ L 164/1)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