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2935909079</w:t>
            </w:r>
          </w:p>
        </w:tc>
        <w:tc>
          <w:tcPr>
            <w:tcW w:type="dxa" w:w="8561"/>
          </w:tcPr>
          <w:p>
            <w:pPr>
              <w:pStyle w:val="Smallintable"/>
            </w:pPr>
            <w:r>
              <w:t>4-[[(2-Methoxybenzoyl)amino]sulfonyl]benzoyl chloride (CAS RN 816431-72-8)</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