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092721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5906999020</w:t>
            </w:r>
          </w:p>
        </w:tc>
        <w:tc>
          <w:tcPr>
            <w:tcW w:type="dxa" w:w="8561"/>
          </w:tcPr>
          <w:p>
            <w:pPr>
              <w:pStyle w:val="Smallintable"/>
            </w:pPr>
            <w:r>
              <w:t xml:space="preserve">Woven and laminated rubberised textile fabric with the following characteristics:  - with three layers,  - one outer layer consists of acrylic fabric,    - the other outer layer consists of polyester fabric,  - the middle layer consists of chlorobutyl rubber,  - the middle layer has a weight of 486 g/m?? or more but not more than 569 g/m??,  - the textile fabric has a total weight of 952 g/m??  or more but not more than 1159 g/m??,  - the textile fabric has a total thickness of 0.8 mm or more but not more than 4 mm,  used for the manufacture of the retractable roof of motor vehicles </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375,000.00</w:t>
            </w:r>
          </w:p>
        </w:tc>
        <w:tc>
          <w:tcPr>
            <w:tcW w:type="dxa" w:w="1417"/>
          </w:tcPr>
          <w:p>
            <w:pPr>
              <w:pStyle w:val="Smallintable"/>
            </w:pPr>
            <w:r>
              <w:t xml:space="preserve">MTK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