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Hake (Merluccius spp. excluding Merluccius merluccius, Urophycis spp.), and Pink cuskeel(Genypterus blacodes), frozen, for</w:t>
              <w:br/>
              <w:t>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0303661110</w:t>
            </w:r>
          </w:p>
        </w:tc>
        <w:tc>
          <w:tcPr>
            <w:tcW w:type="dxa" w:w="8561"/>
          </w:tcPr>
          <w:p>
            <w:pPr>
              <w:pStyle w:val="Smallintable"/>
            </w:pPr>
            <w:r>
              <w:t>For processing</w:t>
            </w:r>
          </w:p>
        </w:tc>
      </w:tr>
      <w:tr>
        <w:tc>
          <w:tcPr>
            <w:tcW w:type="dxa" w:w="1984"/>
          </w:tcPr>
          <w:p>
            <w:pPr>
              <w:pStyle w:val="Smallintable"/>
            </w:pPr>
            <w:r>
              <w:t>0303661210</w:t>
            </w:r>
          </w:p>
        </w:tc>
        <w:tc>
          <w:tcPr>
            <w:tcW w:type="dxa" w:w="8561"/>
          </w:tcPr>
          <w:p>
            <w:pPr>
              <w:pStyle w:val="Smallintable"/>
            </w:pPr>
            <w:r>
              <w:t>For processing</w:t>
            </w:r>
          </w:p>
        </w:tc>
      </w:tr>
      <w:tr>
        <w:tc>
          <w:tcPr>
            <w:tcW w:type="dxa" w:w="1984"/>
          </w:tcPr>
          <w:p>
            <w:pPr>
              <w:pStyle w:val="Smallintable"/>
            </w:pPr>
            <w:r>
              <w:t>0303661310</w:t>
            </w:r>
          </w:p>
        </w:tc>
        <w:tc>
          <w:tcPr>
            <w:tcW w:type="dxa" w:w="8561"/>
          </w:tcPr>
          <w:p>
            <w:pPr>
              <w:pStyle w:val="Smallintable"/>
            </w:pPr>
            <w:r>
              <w:t>For processing</w:t>
            </w:r>
          </w:p>
        </w:tc>
      </w:tr>
      <w:tr>
        <w:tc>
          <w:tcPr>
            <w:tcW w:type="dxa" w:w="1984"/>
          </w:tcPr>
          <w:p>
            <w:pPr>
              <w:pStyle w:val="Smallintable"/>
            </w:pPr>
            <w:r>
              <w:t>0303661911</w:t>
            </w:r>
          </w:p>
        </w:tc>
        <w:tc>
          <w:tcPr>
            <w:tcW w:type="dxa" w:w="8561"/>
          </w:tcPr>
          <w:p>
            <w:pPr>
              <w:pStyle w:val="Smallintable"/>
            </w:pPr>
            <w:r>
              <w:t>For processing</w:t>
            </w:r>
          </w:p>
        </w:tc>
      </w:tr>
      <w:tr>
        <w:tc>
          <w:tcPr>
            <w:tcW w:type="dxa" w:w="1984"/>
          </w:tcPr>
          <w:p>
            <w:pPr>
              <w:pStyle w:val="Smallintable"/>
            </w:pPr>
            <w:r>
              <w:t>0303661991</w:t>
            </w:r>
          </w:p>
        </w:tc>
        <w:tc>
          <w:tcPr>
            <w:tcW w:type="dxa" w:w="8561"/>
          </w:tcPr>
          <w:p>
            <w:pPr>
              <w:pStyle w:val="Smallintable"/>
            </w:pPr>
            <w:r>
              <w:t>For processing</w:t>
            </w:r>
          </w:p>
        </w:tc>
      </w:tr>
      <w:tr>
        <w:tc>
          <w:tcPr>
            <w:tcW w:type="dxa" w:w="1984"/>
          </w:tcPr>
          <w:p>
            <w:pPr>
              <w:pStyle w:val="Smallintable"/>
            </w:pPr>
            <w:r>
              <w:t>0303897010</w:t>
            </w:r>
          </w:p>
        </w:tc>
        <w:tc>
          <w:tcPr>
            <w:tcW w:type="dxa" w:w="8561"/>
          </w:tcPr>
          <w:p>
            <w:pPr>
              <w:pStyle w:val="Smallintable"/>
            </w:pPr>
            <w:r>
              <w:t>For processing</w:t>
            </w:r>
          </w:p>
        </w:tc>
      </w:tr>
      <w:tr>
        <w:tc>
          <w:tcPr>
            <w:tcW w:type="dxa" w:w="1984"/>
          </w:tcPr>
          <w:p>
            <w:pPr>
              <w:pStyle w:val="Smallintable"/>
            </w:pPr>
            <w:r>
              <w:t>0303899030</w:t>
            </w:r>
          </w:p>
        </w:tc>
        <w:tc>
          <w:tcPr>
            <w:tcW w:type="dxa" w:w="8561"/>
          </w:tcPr>
          <w:p>
            <w:pPr>
              <w:pStyle w:val="Smallintable"/>
            </w:pPr>
            <w:r>
              <w:t>Pink cusk-eel (Genypterus capensis)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