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092858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2932930000</w:t>
            </w:r>
          </w:p>
        </w:tc>
        <w:tc>
          <w:tcPr>
            <w:tcW w:type="dxa" w:w="8561"/>
          </w:tcPr>
          <w:p>
            <w:pPr>
              <w:pStyle w:val="Smallintable"/>
            </w:pPr>
            <w:r>
              <w:t>Piperonal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