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092868</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R172466</w:t>
            </w:r>
          </w:p>
        </w:tc>
        <w:tc>
          <w:tcPr>
            <w:tcW w:type="dxa" w:w="8277"/>
          </w:tcPr>
          <w:p>
            <w:pPr>
              <w:pStyle w:val="Smallintable"/>
            </w:pPr>
            <w:r>
              <w:t>amending Regulation (EU) No 1388/2013 opening and providing for the management of autonomous tariff quotas of the Union for certain agricultural and industrial products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8714109060</w:t>
            </w:r>
          </w:p>
        </w:tc>
        <w:tc>
          <w:tcPr>
            <w:tcW w:type="dxa" w:w="8561"/>
          </w:tcPr>
          <w:p>
            <w:pPr>
              <w:pStyle w:val="Smallintable"/>
            </w:pPr>
            <w:r>
              <w:t>Pistons for suspension systems, having a diameter of not more than 55??mm, of sintered steel</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(EU) 2017/2466 of 18 December 2017 amending Regulation (EU) No 1388/2013 opening and providing for the management of autonomous tariff quotas of the Union for certain agricultural and industrial products. (OJ L 351/1)</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2,000,000.00</w:t>
            </w:r>
          </w:p>
        </w:tc>
        <w:tc>
          <w:tcPr>
            <w:tcW w:type="dxa" w:w="1417"/>
          </w:tcPr>
          <w:p>
            <w:pPr>
              <w:pStyle w:val="Smallintable"/>
            </w:pPr>
            <w:r>
              <w:t xml:space="preserve">NAR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