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092888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R172466</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3824999289</w:t>
            </w:r>
          </w:p>
        </w:tc>
        <w:tc>
          <w:tcPr>
            <w:tcW w:type="dxa" w:w="8561"/>
          </w:tcPr>
          <w:p>
            <w:pPr>
              <w:pStyle w:val="Smallintable"/>
            </w:pPr>
            <w:r>
              <w:t xml:space="preserve">Mixture of tertiary alkyldimethyl amines containing by weight: - 60|% or more but not more than 80|% of dodecyldimethylamine (CAS RN 112-18-5), and - 20|% or more but not more than 30|% of dimethyl(tetradecyl)amine (CAS RN 112-75-4) </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2017/2466 of 18 December 2017 amending Regulation (EU) No 1388/2013 opening and providing for the management of autonomous tariff quotas of the Union for certain agricultural and industrial products. (OJ L 351/1)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16,000,000.00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