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092905</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Preparation consisting of a mixture of malt sprouts and barley screenings before the malting process (possibly including other seeds) with barley cleanings after the malting process, and containing by weight 12.5 or more of protein.</w:t>
            </w:r>
          </w:p>
        </w:tc>
      </w:tr>
      <w:tr>
        <w:tc>
          <w:tcPr>
            <w:tcW w:type="dxa" w:w="2608"/>
          </w:tcPr>
          <w:p>
            <w:pPr>
              <w:pStyle w:val="Smallintable"/>
            </w:pPr>
            <w:r>
              <w:t>Country</w:t>
            </w:r>
          </w:p>
        </w:tc>
        <w:tc>
          <w:tcPr>
            <w:tcW w:type="dxa" w:w="7937"/>
          </w:tcPr>
          <w:p>
            <w:pPr>
              <w:pStyle w:val="Smallintable"/>
            </w:pPr>
            <w:r>
              <w:t>ERGA OMNES</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20,000,000.00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Non preferential TQ</w:t>
            </w:r>
          </w:p>
        </w:tc>
      </w:tr>
      <w:tr>
        <w:tc>
          <w:tcPr>
            <w:tcW w:type="dxa" w:w="2608"/>
          </w:tcPr>
          <w:p>
            <w:pPr>
              <w:pStyle w:val="Smallintable"/>
            </w:pPr>
            <w:r>
              <w:t>Mechanism</w:t>
            </w:r>
          </w:p>
        </w:tc>
        <w:tc>
          <w:tcPr>
            <w:tcW w:type="dxa" w:w="7937"/>
          </w:tcPr>
          <w:p>
            <w:pPr>
              <w:pStyle w:val="Smallintable"/>
            </w:pPr>
            <w:r>
              <w:t>WTO</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R960440</w:t>
            </w:r>
          </w:p>
        </w:tc>
        <w:tc>
          <w:tcPr>
            <w:tcW w:type="dxa" w:w="8277"/>
          </w:tcPr>
          <w:p>
            <w:pPr>
              <w:pStyle w:val="Smallintable"/>
            </w:pPr>
            <w:r>
              <w:t>opening and providing for the administration of Community tariff quotas for certain mixtures of malt sprouts and barley screenings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2309903111</w:t>
            </w:r>
          </w:p>
        </w:tc>
        <w:tc>
          <w:tcPr>
            <w:tcW w:type="dxa" w:w="8561"/>
          </w:tcPr>
          <w:p>
            <w:pPr>
              <w:pStyle w:val="Smallintable"/>
            </w:pPr>
            <w:r>
              <w:t>Dog or cat food, not put up for retail sale</w:t>
            </w:r>
          </w:p>
        </w:tc>
      </w:tr>
      <w:tr>
        <w:tc>
          <w:tcPr>
            <w:tcW w:type="dxa" w:w="1984"/>
          </w:tcPr>
          <w:p>
            <w:pPr>
              <w:pStyle w:val="Smallintable"/>
            </w:pPr>
            <w:r>
              <w:t>2309903114</w:t>
            </w:r>
          </w:p>
        </w:tc>
        <w:tc>
          <w:tcPr>
            <w:tcW w:type="dxa" w:w="8561"/>
          </w:tcPr>
          <w:p>
            <w:pPr>
              <w:pStyle w:val="Smallintable"/>
            </w:pPr>
            <w:r>
              <w:t>Other</w:t>
            </w:r>
          </w:p>
        </w:tc>
      </w:tr>
      <w:tr>
        <w:tc>
          <w:tcPr>
            <w:tcW w:type="dxa" w:w="1984"/>
          </w:tcPr>
          <w:p>
            <w:pPr>
              <w:pStyle w:val="Smallintable"/>
            </w:pPr>
            <w:r>
              <w:t>2309903117</w:t>
            </w:r>
          </w:p>
        </w:tc>
        <w:tc>
          <w:tcPr>
            <w:tcW w:type="dxa" w:w="8561"/>
          </w:tcPr>
          <w:p>
            <w:pPr>
              <w:pStyle w:val="Smallintable"/>
            </w:pPr>
            <w:r>
              <w:t>Dog or cat food, not put up for retail sale</w:t>
            </w:r>
          </w:p>
        </w:tc>
      </w:tr>
      <w:tr>
        <w:tc>
          <w:tcPr>
            <w:tcW w:type="dxa" w:w="1984"/>
          </w:tcPr>
          <w:p>
            <w:pPr>
              <w:pStyle w:val="Smallintable"/>
            </w:pPr>
            <w:r>
              <w:t>2309903119</w:t>
            </w:r>
          </w:p>
        </w:tc>
        <w:tc>
          <w:tcPr>
            <w:tcW w:type="dxa" w:w="8561"/>
          </w:tcPr>
          <w:p>
            <w:pPr>
              <w:pStyle w:val="Smallintable"/>
            </w:pPr>
            <w:r>
              <w:t>Other</w:t>
            </w:r>
          </w:p>
        </w:tc>
      </w:tr>
      <w:tr>
        <w:tc>
          <w:tcPr>
            <w:tcW w:type="dxa" w:w="1984"/>
          </w:tcPr>
          <w:p>
            <w:pPr>
              <w:pStyle w:val="Smallintable"/>
            </w:pPr>
            <w:r>
              <w:t>2309904141</w:t>
            </w:r>
          </w:p>
        </w:tc>
        <w:tc>
          <w:tcPr>
            <w:tcW w:type="dxa" w:w="8561"/>
          </w:tcPr>
          <w:p>
            <w:pPr>
              <w:pStyle w:val="Smallintable"/>
            </w:pPr>
            <w:r>
              <w:t>Dog or cat food, not put up for retail sale</w:t>
            </w:r>
          </w:p>
        </w:tc>
      </w:tr>
      <w:tr>
        <w:tc>
          <w:tcPr>
            <w:tcW w:type="dxa" w:w="1984"/>
          </w:tcPr>
          <w:p>
            <w:pPr>
              <w:pStyle w:val="Smallintable"/>
            </w:pPr>
            <w:r>
              <w:t>2309904149</w:t>
            </w:r>
          </w:p>
        </w:tc>
        <w:tc>
          <w:tcPr>
            <w:tcW w:type="dxa" w:w="8561"/>
          </w:tcPr>
          <w:p>
            <w:pPr>
              <w:pStyle w:val="Smallintable"/>
            </w:pPr>
            <w:r>
              <w:t>Other</w:t>
            </w:r>
          </w:p>
        </w:tc>
      </w:tr>
      <w:tr>
        <w:tc>
          <w:tcPr>
            <w:tcW w:type="dxa" w:w="1984"/>
          </w:tcPr>
          <w:p>
            <w:pPr>
              <w:pStyle w:val="Smallintable"/>
            </w:pPr>
            <w:r>
              <w:t>2309904151</w:t>
            </w:r>
          </w:p>
        </w:tc>
        <w:tc>
          <w:tcPr>
            <w:tcW w:type="dxa" w:w="8561"/>
          </w:tcPr>
          <w:p>
            <w:pPr>
              <w:pStyle w:val="Smallintable"/>
            </w:pPr>
            <w:r>
              <w:t>Dog or cat food, not put up for retail sale</w:t>
            </w:r>
          </w:p>
        </w:tc>
      </w:tr>
      <w:tr>
        <w:tc>
          <w:tcPr>
            <w:tcW w:type="dxa" w:w="1984"/>
          </w:tcPr>
          <w:p>
            <w:pPr>
              <w:pStyle w:val="Smallintable"/>
            </w:pPr>
            <w:r>
              <w:t>2309904159</w:t>
            </w:r>
          </w:p>
        </w:tc>
        <w:tc>
          <w:tcPr>
            <w:tcW w:type="dxa" w:w="8561"/>
          </w:tcPr>
          <w:p>
            <w:pPr>
              <w:pStyle w:val="Smallintable"/>
            </w:pPr>
            <w:r>
              <w:t>Other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2309903111</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2309903114</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2309903117</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2309903119</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2309904141</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2309904149</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2309904151</w:t>
            </w:r>
          </w:p>
        </w:tc>
        <w:tc>
          <w:tcPr>
            <w:tcW w:type="dxa" w:w="4706"/>
          </w:tcPr>
          <w:p>
            <w:pPr>
              <w:pStyle w:val="Smallintable"/>
            </w:pPr>
            <w:r>
              <w:t>122 [Non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440/96 opening and providing for the administration of Community tariff quotas for certain mixtures of malt sprouts and barley screenings OJ L 061 , 12/03/1996 P. 2 - 3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20,000,000.00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