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R180339</w:t>
            </w:r>
          </w:p>
        </w:tc>
        <w:tc>
          <w:tcPr>
            <w:tcW w:type="dxa" w:w="8277"/>
          </w:tcPr>
          <w:p>
            <w:pPr>
              <w:pStyle w:val="Smallintable"/>
            </w:pPr>
            <w:r>
              <w:t>amending and derogating from Regulation (EC) No 2535/2001 as regards the import licences for dairy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0405101100</w:t>
            </w:r>
          </w:p>
        </w:tc>
        <w:tc>
          <w:tcPr>
            <w:tcW w:type="dxa" w:w="8561"/>
          </w:tcPr>
          <w:p>
            <w:pPr>
              <w:pStyle w:val="Smallintable"/>
            </w:pPr>
            <w:r>
              <w:t>In immediate packings of a net content not exceeding 1|kg</w:t>
            </w:r>
          </w:p>
        </w:tc>
      </w:tr>
      <w:tr>
        <w:tc>
          <w:tcPr>
            <w:tcW w:type="dxa" w:w="1984"/>
          </w:tcPr>
          <w:p>
            <w:pPr>
              <w:pStyle w:val="Smallintable"/>
            </w:pPr>
            <w:r>
              <w:t>0405101900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