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Undenatured ethyl alcohol</w:t>
              <w:br/>
              <w:br/>
              <w:t>Ethyl alcohol and other spirits, denatured, of any strength</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56,200,000.00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2207100000</w:t>
            </w:r>
          </w:p>
        </w:tc>
        <w:tc>
          <w:tcPr>
            <w:tcW w:type="dxa" w:w="8561"/>
          </w:tcPr>
          <w:p>
            <w:pPr>
              <w:pStyle w:val="Smallintable"/>
            </w:pPr>
            <w:r>
              <w:t>Undenatured ethyl alcohol of an alcoholic strength by volume of 80|%|vol or higher</w:t>
            </w:r>
          </w:p>
        </w:tc>
      </w:tr>
      <w:tr>
        <w:tc>
          <w:tcPr>
            <w:tcW w:type="dxa" w:w="1984"/>
          </w:tcPr>
          <w:p>
            <w:pPr>
              <w:pStyle w:val="Smallintable"/>
            </w:pPr>
            <w:r>
              <w:t>2207200000</w:t>
            </w:r>
          </w:p>
        </w:tc>
        <w:tc>
          <w:tcPr>
            <w:tcW w:type="dxa" w:w="8561"/>
          </w:tcPr>
          <w:p>
            <w:pPr>
              <w:pStyle w:val="Smallintable"/>
            </w:pPr>
            <w:r>
              <w:t>Ethyl alcohol and other spirits, denatured, of any strength</w:t>
            </w:r>
          </w:p>
        </w:tc>
      </w:tr>
      <w:tr>
        <w:tc>
          <w:tcPr>
            <w:tcW w:type="dxa" w:w="1984"/>
          </w:tcPr>
          <w:p>
            <w:pPr>
              <w:pStyle w:val="Smallintable"/>
            </w:pPr>
            <w:r>
              <w:t>2208909100</w:t>
            </w:r>
          </w:p>
        </w:tc>
        <w:tc>
          <w:tcPr>
            <w:tcW w:type="dxa" w:w="8561"/>
          </w:tcPr>
          <w:p>
            <w:pPr>
              <w:pStyle w:val="Smallintable"/>
            </w:pPr>
            <w:r>
              <w:t>2|litres or less</w:t>
            </w:r>
          </w:p>
        </w:tc>
      </w:tr>
      <w:tr>
        <w:tc>
          <w:tcPr>
            <w:tcW w:type="dxa" w:w="1984"/>
          </w:tcPr>
          <w:p>
            <w:pPr>
              <w:pStyle w:val="Smallintable"/>
            </w:pPr>
            <w:r>
              <w:t>2208909900</w:t>
            </w:r>
          </w:p>
        </w:tc>
        <w:tc>
          <w:tcPr>
            <w:tcW w:type="dxa" w:w="8561"/>
          </w:tcPr>
          <w:p>
            <w:pPr>
              <w:pStyle w:val="Smallintable"/>
            </w:pPr>
            <w:r>
              <w:t>More than 2|litres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2207100000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2207200000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2208909100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56,200,000.00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