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096753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Grape juice (including grape must), of a Brix value not exceeding 30, of a value not exceeding 18 EUR per 100 kg net weight</w:t>
              <w:br/>
              <w:t>Grape juice (including grape must), of a Brix value exceeding 67, of a value not exceeding 22 EUR per 100 kg net weight</w:t>
              <w:br/>
              <w:t>Grape juice (including grape must), of a Brix value exceeding 30 but not exceeding 67, of a value not exceeding 18 EUR per 100 kg net weight</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01-10-2017 - 30-09-2018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Autonomous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R171566</w:t>
            </w:r>
          </w:p>
        </w:tc>
        <w:tc>
          <w:tcPr>
            <w:tcW w:type="dxa" w:w="8277"/>
          </w:tcPr>
          <w:p>
            <w:pPr>
              <w:pStyle w:val="Smallintable"/>
            </w:pPr>
            <w:r>
              <w:t>on the introduction of temporary autonomous trade measures for Ukraine supplementing the trade concessions available under the Association Agreement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2009619000</w:t>
            </w:r>
          </w:p>
        </w:tc>
        <w:tc>
          <w:tcPr>
            <w:tcW w:type="dxa" w:w="8561"/>
          </w:tcPr>
          <w:p>
            <w:pPr>
              <w:pStyle w:val="Smallintable"/>
            </w:pPr>
            <w:r>
              <w:t>Of a value not exceeding ???|18|per 100|kg net weight</w:t>
            </w:r>
          </w:p>
        </w:tc>
      </w:tr>
      <w:tr>
        <w:tc>
          <w:tcPr>
            <w:tcW w:type="dxa" w:w="1984"/>
          </w:tcPr>
          <w:p>
            <w:pPr>
              <w:pStyle w:val="Smallintable"/>
            </w:pPr>
            <w:r>
              <w:t>2009691100</w:t>
            </w:r>
          </w:p>
        </w:tc>
        <w:tc>
          <w:tcPr>
            <w:tcW w:type="dxa" w:w="8561"/>
          </w:tcPr>
          <w:p>
            <w:pPr>
              <w:pStyle w:val="Smallintable"/>
            </w:pPr>
            <w:r>
              <w:t>Of a value not exceeding ???|22|per 100|kg net weight</w:t>
            </w:r>
          </w:p>
        </w:tc>
      </w:tr>
      <w:tr>
        <w:tc>
          <w:tcPr>
            <w:tcW w:type="dxa" w:w="1984"/>
          </w:tcPr>
          <w:p>
            <w:pPr>
              <w:pStyle w:val="Smallintable"/>
            </w:pPr>
            <w:r>
              <w:t>2009697100</w:t>
            </w:r>
          </w:p>
        </w:tc>
        <w:tc>
          <w:tcPr>
            <w:tcW w:type="dxa" w:w="8561"/>
          </w:tcPr>
          <w:p>
            <w:pPr>
              <w:pStyle w:val="Smallintable"/>
            </w:pPr>
            <w:r>
              <w:t>Concentrated</w:t>
            </w:r>
          </w:p>
        </w:tc>
      </w:tr>
      <w:tr>
        <w:tc>
          <w:tcPr>
            <w:tcW w:type="dxa" w:w="1984"/>
          </w:tcPr>
          <w:p>
            <w:pPr>
              <w:pStyle w:val="Smallintable"/>
            </w:pPr>
            <w:r>
              <w:t>2009697900</w:t>
            </w:r>
          </w:p>
        </w:tc>
        <w:tc>
          <w:tcPr>
            <w:tcW w:type="dxa" w:w="8561"/>
          </w:tcPr>
          <w:p>
            <w:pPr>
              <w:pStyle w:val="Smallintable"/>
            </w:pPr>
            <w:r>
              <w:t>Other</w:t>
            </w:r>
          </w:p>
        </w:tc>
      </w:tr>
      <w:tr>
        <w:tc>
          <w:tcPr>
            <w:tcW w:type="dxa" w:w="1984"/>
          </w:tcPr>
          <w:p>
            <w:pPr>
              <w:pStyle w:val="Smallintable"/>
            </w:pPr>
            <w:r>
              <w:t>2009699000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2009619000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2009697900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Regulation (EU) 2017/1566 of the European Parliament and of the Council of 13 September 2017 on the introduction of temporary autonomous trade measures for Ukraine supplementing the trade concessions available under the Association Agreement (OJ L254/1).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30-09-19</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