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096804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Plums, fresh</w:t>
            </w:r>
          </w:p>
        </w:tc>
      </w:tr>
      <w:tr>
        <w:tc>
          <w:tcPr>
            <w:tcW w:type="dxa" w:w="2608"/>
          </w:tcPr>
          <w:p>
            <w:pPr>
              <w:pStyle w:val="Smallintable"/>
            </w:pPr>
            <w:r>
              <w:t>Country</w:t>
            </w:r>
          </w:p>
        </w:tc>
        <w:tc>
          <w:tcPr>
            <w:tcW w:type="dxa" w:w="7937"/>
          </w:tcPr>
          <w:p>
            <w:pPr>
              <w:pStyle w:val="Smallintable"/>
            </w:pPr>
            <w:r>
              <w:t>Moldova, Republic of</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R140988</w:t>
            </w:r>
          </w:p>
        </w:tc>
        <w:tc>
          <w:tcPr>
            <w:tcW w:type="dxa" w:w="8277"/>
          </w:tcPr>
          <w:p>
            <w:pPr>
              <w:pStyle w:val="Smallintable"/>
            </w:pPr>
            <w:r>
              <w:t>opening and providing for the management of Union tariff quotas for agricultural products originating in the Republic of Moldova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MD</w:t>
            </w:r>
          </w:p>
        </w:tc>
        <w:tc>
          <w:tcPr>
            <w:tcW w:type="dxa" w:w="8277"/>
          </w:tcPr>
          <w:p>
            <w:pPr>
              <w:pStyle w:val="Smallintable"/>
            </w:pPr>
            <w:r>
              <w:t>Moldova, Republic of</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0809400500</w:t>
            </w:r>
          </w:p>
        </w:tc>
        <w:tc>
          <w:tcPr>
            <w:tcW w:type="dxa" w:w="8561"/>
          </w:tcPr>
          <w:p>
            <w:pPr>
              <w:pStyle w:val="Smallintable"/>
            </w:pPr>
            <w:r>
              <w:t>Plums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988/2014 of 20.09.2014 opening and providing for the management of Union tariff quotas for agricultural products originating in the Republic of Moldova OJ L 278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