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097034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R131012</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Costa Rica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CR</w:t>
            </w:r>
          </w:p>
        </w:tc>
        <w:tc>
          <w:tcPr>
            <w:tcW w:type="dxa" w:w="8277"/>
          </w:tcPr>
          <w:p>
            <w:pPr>
              <w:pStyle w:val="Smallintable"/>
            </w:pPr>
            <w:r>
              <w:t>Costa Rica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6203120000</w:t>
            </w:r>
          </w:p>
        </w:tc>
        <w:tc>
          <w:tcPr>
            <w:tcW w:type="dxa" w:w="8561"/>
          </w:tcPr>
          <w:p>
            <w:pPr>
              <w:pStyle w:val="Smallintable"/>
            </w:pPr>
            <w:r>
              <w:t>Of synthetic fibres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1012/2013 of 21 October 2013 on the derogations from the rules of origin laid down in Annex II to the Agreement establishing an Association between the European Union and its Member States, on the one hand, and Central America on the other, that apply within quotas for certain products from Costa Rica (OJ L 280/13)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507,500.00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