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097045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R131012</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Costa Rica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CR</w:t>
            </w:r>
          </w:p>
        </w:tc>
        <w:tc>
          <w:tcPr>
            <w:tcW w:type="dxa" w:w="8277"/>
          </w:tcPr>
          <w:p>
            <w:pPr>
              <w:pStyle w:val="Smallintable"/>
            </w:pPr>
            <w:r>
              <w:t>Costa Rica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6211430000</w:t>
            </w:r>
          </w:p>
        </w:tc>
        <w:tc>
          <w:tcPr>
            <w:tcW w:type="dxa" w:w="8561"/>
          </w:tcPr>
          <w:p>
            <w:pPr>
              <w:pStyle w:val="Smallintable"/>
            </w:pPr>
            <w:r>
              <w:t>Of man-made fibres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1012/2013 of 21 October 2013 on the derogations from the rules of origin laid down in Annex II to the Agreement establishing an Association between the European Union and its Member States, on the one hand, and Central America on the other, that apply within quotas for certain products from Costa Rica (OJ L 280/13)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65,250.00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