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097050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R131366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Guatemala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GT</w:t>
            </w:r>
          </w:p>
        </w:tc>
        <w:tc>
          <w:tcPr>
            <w:tcW w:type="dxa" w:w="8277"/>
          </w:tcPr>
          <w:p>
            <w:pPr>
              <w:pStyle w:val="Smallintable"/>
            </w:pPr>
            <w:r>
              <w:t>Guatemala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6203430000</w:t>
            </w:r>
          </w:p>
        </w:tc>
        <w:tc>
          <w:tcPr>
            <w:tcW w:type="dxa" w:w="8561"/>
          </w:tcPr>
          <w:p>
            <w:pPr>
              <w:pStyle w:val="Smallintable"/>
            </w:pPr>
            <w:r>
              <w:t>Of synthetic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1366/2013 of 18 December 2013 on the derogations from the rules of origin laid down in Annex II to the Agreement establishing an Association between the European Union and its Member States, on the one hand, and Central America on the other, that apply within quotas for certain products from Guatemala (see OJ L 343/34)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1,015,000.00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