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097064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Panama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PA</w:t>
            </w:r>
          </w:p>
        </w:tc>
        <w:tc>
          <w:tcPr>
            <w:tcW w:type="dxa" w:w="8277"/>
          </w:tcPr>
          <w:p>
            <w:pPr>
              <w:pStyle w:val="Smallintable"/>
            </w:pPr>
            <w:r>
              <w:t>Panama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6108210000</w:t>
            </w:r>
          </w:p>
        </w:tc>
        <w:tc>
          <w:tcPr>
            <w:tcW w:type="dxa" w:w="8561"/>
          </w:tcPr>
          <w:p>
            <w:pPr>
              <w:pStyle w:val="Smallintable"/>
            </w:pPr>
            <w:r>
              <w:t>Of cotton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976/2013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Panama (OJ L 272/25)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1,116,500.00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