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097071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R130976</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Panama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PA</w:t>
            </w:r>
          </w:p>
        </w:tc>
        <w:tc>
          <w:tcPr>
            <w:tcW w:type="dxa" w:w="8277"/>
          </w:tcPr>
          <w:p>
            <w:pPr>
              <w:pStyle w:val="Smallintable"/>
            </w:pPr>
            <w:r>
              <w:t>Panama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6203430000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976/2013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Panama (Oj L 272/25)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145,000.00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