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097079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R131011</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El Salvador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SV</w:t>
            </w:r>
          </w:p>
        </w:tc>
        <w:tc>
          <w:tcPr>
            <w:tcW w:type="dxa" w:w="8277"/>
          </w:tcPr>
          <w:p>
            <w:pPr>
              <w:pStyle w:val="Smallintable"/>
            </w:pPr>
            <w:r>
              <w:t>El Salvador</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6102300000</w:t>
            </w:r>
          </w:p>
        </w:tc>
        <w:tc>
          <w:tcPr>
            <w:tcW w:type="dxa" w:w="8561"/>
          </w:tcPr>
          <w:p>
            <w:pPr>
              <w:pStyle w:val="Smallintable"/>
            </w:pPr>
            <w:r>
              <w:t>Of man-made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1011/2013 on the derogations from the rules of origin laid down in Annex II to the Agreement establishing an Association between the European Union and its Member States, on the one hand, and Central America on the other, that apply within quotas for certain products from El Salvador (OJ L 280/3)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1,078,000.00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