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097084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R131011</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El Salvador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SV</w:t>
            </w:r>
          </w:p>
        </w:tc>
        <w:tc>
          <w:tcPr>
            <w:tcW w:type="dxa" w:w="8277"/>
          </w:tcPr>
          <w:p>
            <w:pPr>
              <w:pStyle w:val="Smallintable"/>
            </w:pPr>
            <w:r>
              <w:t>El Salvador</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6104620000</w:t>
            </w:r>
          </w:p>
        </w:tc>
        <w:tc>
          <w:tcPr>
            <w:tcW w:type="dxa" w:w="8561"/>
          </w:tcPr>
          <w:p>
            <w:pPr>
              <w:pStyle w:val="Smallintable"/>
            </w:pPr>
            <w:r>
              <w:t>Of cotton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1011/2013 on the derogations from the rules of origin laid down in Annex II to the Agreement establishing an Association between the European Union and its Member States, on the one hand, and Central America on the other, that apply within quotas for certain products from El Salvador (OJ L 280/3)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1,386,000.00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