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097103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R131011</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El Salvador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SV</w:t>
            </w:r>
          </w:p>
        </w:tc>
        <w:tc>
          <w:tcPr>
            <w:tcW w:type="dxa" w:w="8277"/>
          </w:tcPr>
          <w:p>
            <w:pPr>
              <w:pStyle w:val="Smallintable"/>
            </w:pPr>
            <w:r>
              <w:t>El Salvador</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6212100000</w:t>
            </w:r>
          </w:p>
        </w:tc>
        <w:tc>
          <w:tcPr>
            <w:tcW w:type="dxa" w:w="8561"/>
          </w:tcPr>
          <w:p>
            <w:pPr>
              <w:pStyle w:val="Smallintable"/>
            </w:pPr>
            <w:r>
              <w:t>Brassi??res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1011/2013 on the derogations from the rules of origin laid down in Annex II to the Agreement establishing an Association between the European Union and its Member States, on the one hand, and Central America on the other, that apply within quotas for certain products from El Salvador (OJ L 280/3)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1,386,000.00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