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6115100000</w:t>
            </w:r>
          </w:p>
        </w:tc>
        <w:tc>
          <w:tcPr>
            <w:tcW w:type="dxa" w:w="8561"/>
          </w:tcPr>
          <w:p>
            <w:pPr>
              <w:pStyle w:val="Smallintable"/>
            </w:pPr>
            <w:r>
              <w:t>Graduated compression hosiery (for example, stockings for varicose veins)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