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097145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R130740</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Colombia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CO</w:t>
            </w:r>
          </w:p>
        </w:tc>
        <w:tc>
          <w:tcPr>
            <w:tcW w:type="dxa" w:w="8277"/>
          </w:tcPr>
          <w:p>
            <w:pPr>
              <w:pStyle w:val="Smallintable"/>
            </w:pPr>
            <w:r>
              <w:t>Colombia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6115210000</w:t>
            </w:r>
          </w:p>
        </w:tc>
        <w:tc>
          <w:tcPr>
            <w:tcW w:type="dxa" w:w="8561"/>
          </w:tcPr>
          <w:p>
            <w:pPr>
              <w:pStyle w:val="Smallintable"/>
            </w:pPr>
            <w:r>
              <w:t>Of synthetic fibres, measuring per single yarn less than 67|decitex</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740/2013 on the derogations from the rules of origin laid down in Annex II to the Trade Agreement between the European Union and its Member States, of the one part, and Colombia and Peru, of the other part, that apply within quotas for certain products from Colombia. (OJ L 204, 31.07.2013)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01-08-18 to 31-07-19</w:t>
            </w:r>
          </w:p>
        </w:tc>
        <w:tc>
          <w:tcPr>
            <w:tcW w:type="dxa" w:w="1531"/>
          </w:tcPr>
          <w:p>
            <w:pPr>
              <w:pStyle w:val="Smallintable"/>
            </w:pPr>
            <w:r>
              <w:t>12 months</w:t>
            </w:r>
          </w:p>
        </w:tc>
        <w:tc>
          <w:tcPr>
            <w:tcW w:type="dxa" w:w="1644"/>
          </w:tcPr>
          <w:p>
            <w:pPr>
              <w:pStyle w:val="Smallintable"/>
            </w:pPr>
            <w:r>
              <w:t>40,000.00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