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097194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7325000000</w:t>
            </w:r>
          </w:p>
        </w:tc>
        <w:tc>
          <w:tcPr>
            <w:tcW w:type="dxa" w:w="8561"/>
          </w:tcPr>
          <w:p>
            <w:pPr>
              <w:pStyle w:val="Smallintable"/>
            </w:pPr>
            <w:r>
              <w:t>Other cast articles of iron or steel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