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097197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Atlantic horse mackerel (Trachurus trachurus), frozen</w:t>
              <w:br/>
              <w:br/>
              <w:t>horse mackerel (Cranx trachurus), frozen</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60,000.00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0303551000</w:t>
            </w:r>
          </w:p>
        </w:tc>
        <w:tc>
          <w:tcPr>
            <w:tcW w:type="dxa" w:w="8561"/>
          </w:tcPr>
          <w:p>
            <w:pPr>
              <w:pStyle w:val="Smallintable"/>
            </w:pPr>
            <w:r>
              <w:t>Atlantic horse mackerel (Trachurus trachurus)</w:t>
            </w:r>
          </w:p>
        </w:tc>
      </w:tr>
      <w:tr>
        <w:tc>
          <w:tcPr>
            <w:tcW w:type="dxa" w:w="1984"/>
          </w:tcPr>
          <w:p>
            <w:pPr>
              <w:pStyle w:val="Smallintable"/>
            </w:pPr>
            <w:r>
              <w:t>0303559010</w:t>
            </w:r>
          </w:p>
        </w:tc>
        <w:tc>
          <w:tcPr>
            <w:tcW w:type="dxa" w:w="8561"/>
          </w:tcPr>
          <w:p>
            <w:pPr>
              <w:pStyle w:val="Smallintable"/>
            </w:pPr>
            <w:r>
              <w:t>Horse mackerel (scad) (Caranx trachurus)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0303551000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60,000.00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