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Rum and other spirits obtained by distilling fermented sugar-cane products, in containers holding more than 2 litres</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w:t>
            </w:r>
          </w:p>
        </w:tc>
      </w:tr>
      <w:tr>
        <w:tc>
          <w:tcPr>
            <w:tcW w:type="dxa" w:w="2608"/>
          </w:tcPr>
          <w:p>
            <w:pPr>
              <w:pStyle w:val="Smallintable"/>
            </w:pPr>
            <w:r>
              <w:t>Unit</w:t>
            </w:r>
          </w:p>
        </w:tc>
        <w:tc>
          <w:tcPr>
            <w:tcW w:type="dxa" w:w="7937"/>
          </w:tcPr>
          <w:p>
            <w:pPr>
              <w:pStyle w:val="Smallintable"/>
            </w:pPr>
            <w:r>
              <w:t>LPA</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2208405100</w:t>
            </w:r>
          </w:p>
        </w:tc>
        <w:tc>
          <w:tcPr>
            <w:tcW w:type="dxa" w:w="8561"/>
          </w:tcPr>
          <w:p>
            <w:pPr>
              <w:pStyle w:val="Smallintable"/>
            </w:pPr>
            <w:r>
              <w:t>Rum with a content of volatile substances other than ethyl and methyl alcohol equal to or exceeding 225|grams per hectolitre of pure alcohol (with a 10|% tolerance)</w:t>
            </w:r>
          </w:p>
        </w:tc>
      </w:tr>
      <w:tr>
        <w:tc>
          <w:tcPr>
            <w:tcW w:type="dxa" w:w="1984"/>
          </w:tcPr>
          <w:p>
            <w:pPr>
              <w:pStyle w:val="Smallintable"/>
            </w:pPr>
            <w:r>
              <w:t>2208409900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2208405100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w:t>
            </w:r>
          </w:p>
        </w:tc>
        <w:tc>
          <w:tcPr>
            <w:tcW w:type="dxa" w:w="1417"/>
          </w:tcPr>
          <w:p>
            <w:pPr>
              <w:pStyle w:val="Smallintable"/>
            </w:pPr>
            <w:r>
              <w:t xml:space="preserve">LPA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