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of bovine animals, fresh, chilled or frozen, boneles</w:t>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0201300000</w:t>
            </w:r>
          </w:p>
        </w:tc>
        <w:tc>
          <w:tcPr>
            <w:tcW w:type="dxa" w:w="8561"/>
          </w:tcPr>
          <w:p>
            <w:pPr>
              <w:pStyle w:val="Smallintable"/>
            </w:pPr>
            <w:r>
              <w:t>Boneless</w:t>
            </w:r>
          </w:p>
        </w:tc>
      </w:tr>
      <w:tr>
        <w:tc>
          <w:tcPr>
            <w:tcW w:type="dxa" w:w="1984"/>
          </w:tcPr>
          <w:p>
            <w:pPr>
              <w:pStyle w:val="Smallintable"/>
            </w:pPr>
            <w:r>
              <w:t>0202300000</w:t>
            </w:r>
          </w:p>
        </w:tc>
        <w:tc>
          <w:tcPr>
            <w:tcW w:type="dxa" w:w="8561"/>
          </w:tcPr>
          <w:p>
            <w:pPr>
              <w:pStyle w:val="Smallintable"/>
            </w:pPr>
            <w:r>
              <w:t>Boneless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0201300000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