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097510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R170120</w:t>
            </w:r>
          </w:p>
        </w:tc>
        <w:tc>
          <w:tcPr>
            <w:tcW w:type="dxa" w:w="8277"/>
          </w:tcPr>
          <w:p>
            <w:pPr>
              <w:pStyle w:val="Smallintable"/>
            </w:pPr>
            <w:r>
              <w:t>on the derogations from the rules of origin laid down in Annex II to the Trade Agreement between the European Union and its Member States, of the one part, and Colombia, Peru and Ecuador, of the other part, that apply within quotas for certain products from Ecuador</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EC</w:t>
            </w:r>
          </w:p>
        </w:tc>
        <w:tc>
          <w:tcPr>
            <w:tcW w:type="dxa" w:w="8277"/>
          </w:tcPr>
          <w:p>
            <w:pPr>
              <w:pStyle w:val="Smallintable"/>
            </w:pPr>
            <w:r>
              <w:t>Ecuador</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7321000000</w:t>
            </w:r>
          </w:p>
        </w:tc>
        <w:tc>
          <w:tcPr>
            <w:tcW w:type="dxa" w:w="8561"/>
          </w:tcPr>
          <w:p>
            <w:pPr>
              <w:pStyle w:val="Smallintable"/>
            </w:pPr>
            <w:r>
              <w:t>Stoves, ranges, grates, cookers (including those with subsidiary boilers for central heating), barbecues, braziers, gas rings, plate warmers and similar non-electric domestic appliances, and parts thereof, of iron or steel</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2017/120 of 24 January 2017 on the derogations from the rules of origin laid down in Annex II to the Trade Agreement between the European Union and its Member States, of the one part, and Colombia, Peru and Ecuador, of the other part, that apply within quotas for certain products from Ecuador (see OJ L 19/27)</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20,000.00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