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098094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R180348</w:t>
            </w:r>
          </w:p>
        </w:tc>
        <w:tc>
          <w:tcPr>
            <w:tcW w:type="dxa" w:w="8277"/>
          </w:tcPr>
          <w:p>
            <w:pPr>
              <w:pStyle w:val="Smallintable"/>
            </w:pPr>
            <w:r>
              <w:t>on a temporary derogation from the rules of preferential origin laid down in Delegated Regulation (EU) 2015/2446 in respect of bicycles and other cycles produced in Cambodia regarding the use, under cumulation, of parts originating in Malaysia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KH</w:t>
            </w:r>
          </w:p>
        </w:tc>
        <w:tc>
          <w:tcPr>
            <w:tcW w:type="dxa" w:w="8277"/>
          </w:tcPr>
          <w:p>
            <w:pPr>
              <w:pStyle w:val="Smallintable"/>
            </w:pPr>
            <w:r>
              <w:t>Cambodia (Kampuchea)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8712000000</w:t>
            </w:r>
          </w:p>
        </w:tc>
        <w:tc>
          <w:tcPr>
            <w:tcW w:type="dxa" w:w="8561"/>
          </w:tcPr>
          <w:p>
            <w:pPr>
              <w:pStyle w:val="Smallintable"/>
            </w:pPr>
            <w:r>
              <w:t>Bicycles and other cycles (including delivery tricycles), not motorised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2018/348 of 8 March 2018 on a temporary derogation from the rules of preferential origin laid down in Delegated Regulation (EU) 2015/2446 in respect of bicycles and other cycles produced in Cambodia regarding the use, under cumulation, of parts originating in Malaysia (OJ L 67, p.24)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09-03-18 to 31-12-19</w:t>
            </w:r>
          </w:p>
        </w:tc>
        <w:tc>
          <w:tcPr>
            <w:tcW w:type="dxa" w:w="1531"/>
          </w:tcPr>
          <w:p>
            <w:pPr>
              <w:pStyle w:val="Smallintable"/>
            </w:pPr>
            <w:r>
              <w:t>Custom period</w:t>
            </w:r>
          </w:p>
        </w:tc>
        <w:tc>
          <w:tcPr>
            <w:tcW w:type="dxa" w:w="1644"/>
          </w:tcPr>
          <w:p>
            <w:pPr>
              <w:pStyle w:val="Smallintable"/>
            </w:pPr>
            <w:r>
              <w:t>100,000.00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