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098330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R171781</w:t>
            </w:r>
          </w:p>
        </w:tc>
        <w:tc>
          <w:tcPr>
            <w:tcW w:type="dxa" w:w="8277"/>
          </w:tcPr>
          <w:p>
            <w:pPr>
              <w:pStyle w:val="Smallintable"/>
            </w:pPr>
            <w:r>
              <w:t>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CA</w:t>
            </w:r>
          </w:p>
        </w:tc>
        <w:tc>
          <w:tcPr>
            <w:tcW w:type="dxa" w:w="8277"/>
          </w:tcPr>
          <w:p>
            <w:pPr>
              <w:pStyle w:val="Smallintable"/>
            </w:pPr>
            <w:r>
              <w:t>Canada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5911000000</w:t>
            </w:r>
          </w:p>
        </w:tc>
        <w:tc>
          <w:tcPr>
            <w:tcW w:type="dxa" w:w="8561"/>
          </w:tcPr>
          <w:p>
            <w:pPr>
              <w:pStyle w:val="Smallintable"/>
            </w:pPr>
            <w:r>
              <w:t>Textile products and articles, for technical uses, specified in note|7|to this chapter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2017/1781 of 28 September 2017 on the derogations from the product-specific rules of origin laid down in the Comprehensive Economic and Trade Agreement between Canada of the one part, and the European Union and its Member States, of the other part, that apply within the limits of annual quotas for certain products from Canada (OJ L 255/1).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173,000.00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