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7210200000</w:t>
            </w:r>
          </w:p>
        </w:tc>
        <w:tc>
          <w:tcPr>
            <w:tcW w:type="dxa" w:w="8561"/>
          </w:tcPr>
          <w:p>
            <w:pPr>
              <w:pStyle w:val="Smallintable"/>
            </w:pPr>
            <w:r>
              <w:t>Plated or coated with lead, including terne-plate</w:t>
            </w:r>
          </w:p>
        </w:tc>
      </w:tr>
      <w:tr>
        <w:tc>
          <w:tcPr>
            <w:tcW w:type="dxa" w:w="1984"/>
          </w:tcPr>
          <w:p>
            <w:pPr>
              <w:pStyle w:val="Smallintable"/>
            </w:pPr>
            <w:r>
              <w:t>7210300000</w:t>
            </w:r>
          </w:p>
        </w:tc>
        <w:tc>
          <w:tcPr>
            <w:tcW w:type="dxa" w:w="8561"/>
          </w:tcPr>
          <w:p>
            <w:pPr>
              <w:pStyle w:val="Smallintable"/>
            </w:pPr>
            <w:r>
              <w:t>Electrolytically plated or coated with zinc</w:t>
            </w:r>
          </w:p>
        </w:tc>
      </w:tr>
      <w:tr>
        <w:tc>
          <w:tcPr>
            <w:tcW w:type="dxa" w:w="1984"/>
          </w:tcPr>
          <w:p>
            <w:pPr>
              <w:pStyle w:val="Smallintable"/>
            </w:pPr>
            <w:r>
              <w:t>7210410000</w:t>
            </w:r>
          </w:p>
        </w:tc>
        <w:tc>
          <w:tcPr>
            <w:tcW w:type="dxa" w:w="8561"/>
          </w:tcPr>
          <w:p>
            <w:pPr>
              <w:pStyle w:val="Smallintable"/>
            </w:pPr>
            <w:r>
              <w:t>Corrugated</w:t>
            </w:r>
          </w:p>
        </w:tc>
      </w:tr>
      <w:tr>
        <w:tc>
          <w:tcPr>
            <w:tcW w:type="dxa" w:w="1984"/>
          </w:tcPr>
          <w:p>
            <w:pPr>
              <w:pStyle w:val="Smallintable"/>
            </w:pPr>
            <w:r>
              <w:t>7210490000</w:t>
            </w:r>
          </w:p>
        </w:tc>
        <w:tc>
          <w:tcPr>
            <w:tcW w:type="dxa" w:w="8561"/>
          </w:tcPr>
          <w:p>
            <w:pPr>
              <w:pStyle w:val="Smallintable"/>
            </w:pPr>
            <w:r>
              <w:t>Other</w:t>
            </w:r>
          </w:p>
        </w:tc>
      </w:tr>
      <w:tr>
        <w:tc>
          <w:tcPr>
            <w:tcW w:type="dxa" w:w="1984"/>
          </w:tcPr>
          <w:p>
            <w:pPr>
              <w:pStyle w:val="Smallintable"/>
            </w:pPr>
            <w:r>
              <w:t>7210610000</w:t>
            </w:r>
          </w:p>
        </w:tc>
        <w:tc>
          <w:tcPr>
            <w:tcW w:type="dxa" w:w="8561"/>
          </w:tcPr>
          <w:p>
            <w:pPr>
              <w:pStyle w:val="Smallintable"/>
            </w:pPr>
            <w:r>
              <w:t>Plated or coated with aluminium-zinc alloys</w:t>
            </w:r>
          </w:p>
        </w:tc>
      </w:tr>
      <w:tr>
        <w:tc>
          <w:tcPr>
            <w:tcW w:type="dxa" w:w="1984"/>
          </w:tcPr>
          <w:p>
            <w:pPr>
              <w:pStyle w:val="Smallintable"/>
            </w:pPr>
            <w:r>
              <w:t>7210690000</w:t>
            </w:r>
          </w:p>
        </w:tc>
        <w:tc>
          <w:tcPr>
            <w:tcW w:type="dxa" w:w="8561"/>
          </w:tcPr>
          <w:p>
            <w:pPr>
              <w:pStyle w:val="Smallintable"/>
            </w:pPr>
            <w:r>
              <w:t>Other</w:t>
            </w:r>
          </w:p>
        </w:tc>
      </w:tr>
      <w:tr>
        <w:tc>
          <w:tcPr>
            <w:tcW w:type="dxa" w:w="1984"/>
          </w:tcPr>
          <w:p>
            <w:pPr>
              <w:pStyle w:val="Smallintable"/>
            </w:pPr>
            <w:r>
              <w:t>7210908000</w:t>
            </w:r>
          </w:p>
        </w:tc>
        <w:tc>
          <w:tcPr>
            <w:tcW w:type="dxa" w:w="8561"/>
          </w:tcPr>
          <w:p>
            <w:pPr>
              <w:pStyle w:val="Smallintable"/>
            </w:pPr>
            <w:r>
              <w:t>Other</w:t>
            </w:r>
          </w:p>
        </w:tc>
      </w:tr>
      <w:tr>
        <w:tc>
          <w:tcPr>
            <w:tcW w:type="dxa" w:w="1984"/>
          </w:tcPr>
          <w:p>
            <w:pPr>
              <w:pStyle w:val="Smallintable"/>
            </w:pPr>
            <w:r>
              <w:t>7212200000</w:t>
            </w:r>
          </w:p>
        </w:tc>
        <w:tc>
          <w:tcPr>
            <w:tcW w:type="dxa" w:w="8561"/>
          </w:tcPr>
          <w:p>
            <w:pPr>
              <w:pStyle w:val="Smallintable"/>
            </w:pPr>
            <w:r>
              <w:t>Electrolytically plated or coated with zinc</w:t>
            </w:r>
          </w:p>
        </w:tc>
      </w:tr>
      <w:tr>
        <w:tc>
          <w:tcPr>
            <w:tcW w:type="dxa" w:w="1984"/>
          </w:tcPr>
          <w:p>
            <w:pPr>
              <w:pStyle w:val="Smallintable"/>
            </w:pPr>
            <w:r>
              <w:t>7212300000</w:t>
            </w:r>
          </w:p>
        </w:tc>
        <w:tc>
          <w:tcPr>
            <w:tcW w:type="dxa" w:w="8561"/>
          </w:tcPr>
          <w:p>
            <w:pPr>
              <w:pStyle w:val="Smallintable"/>
            </w:pPr>
            <w:r>
              <w:t>Otherwise plated or coated with zinc</w:t>
            </w:r>
          </w:p>
        </w:tc>
      </w:tr>
      <w:tr>
        <w:tc>
          <w:tcPr>
            <w:tcW w:type="dxa" w:w="1984"/>
          </w:tcPr>
          <w:p>
            <w:pPr>
              <w:pStyle w:val="Smallintable"/>
            </w:pPr>
            <w:r>
              <w:t>7212500000</w:t>
            </w:r>
          </w:p>
        </w:tc>
        <w:tc>
          <w:tcPr>
            <w:tcW w:type="dxa" w:w="8561"/>
          </w:tcPr>
          <w:p>
            <w:pPr>
              <w:pStyle w:val="Smallintable"/>
            </w:pPr>
            <w:r>
              <w:t>Otherwise plated or coated</w:t>
            </w:r>
          </w:p>
        </w:tc>
      </w:tr>
      <w:tr>
        <w:tc>
          <w:tcPr>
            <w:tcW w:type="dxa" w:w="1984"/>
          </w:tcPr>
          <w:p>
            <w:pPr>
              <w:pStyle w:val="Smallintable"/>
            </w:pPr>
            <w:r>
              <w:t>7225910000</w:t>
            </w:r>
          </w:p>
        </w:tc>
        <w:tc>
          <w:tcPr>
            <w:tcW w:type="dxa" w:w="8561"/>
          </w:tcPr>
          <w:p>
            <w:pPr>
              <w:pStyle w:val="Smallintable"/>
            </w:pPr>
            <w:r>
              <w:t>Electrolytically plated or coated with zinc</w:t>
            </w:r>
          </w:p>
        </w:tc>
      </w:tr>
      <w:tr>
        <w:tc>
          <w:tcPr>
            <w:tcW w:type="dxa" w:w="1984"/>
          </w:tcPr>
          <w:p>
            <w:pPr>
              <w:pStyle w:val="Smallintable"/>
            </w:pPr>
            <w:r>
              <w:t>7225920000</w:t>
            </w:r>
          </w:p>
        </w:tc>
        <w:tc>
          <w:tcPr>
            <w:tcW w:type="dxa" w:w="8561"/>
          </w:tcPr>
          <w:p>
            <w:pPr>
              <w:pStyle w:val="Smallintable"/>
            </w:pPr>
            <w:r>
              <w:t>Otherwise plated or coated with zinc</w:t>
            </w:r>
          </w:p>
        </w:tc>
      </w:tr>
      <w:tr>
        <w:tc>
          <w:tcPr>
            <w:tcW w:type="dxa" w:w="1984"/>
          </w:tcPr>
          <w:p>
            <w:pPr>
              <w:pStyle w:val="Smallintable"/>
            </w:pPr>
            <w:r>
              <w:t>7226990000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7210200000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7210300000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7210410000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7210490000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7210610000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7210690000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7210908000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7212200000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7212300000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7212500000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7225910000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7225920000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2,115,054,000.00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